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Ansi="宋体" w:cs="宋体"/>
          <w:b/>
          <w:bCs/>
          <w:kern w:val="0"/>
          <w:sz w:val="32"/>
          <w:szCs w:val="32"/>
        </w:rPr>
      </w:pPr>
      <w:r>
        <w:rPr>
          <w:rFonts w:hint="eastAsia" w:hAnsi="宋体" w:cs="宋体"/>
          <w:b/>
          <w:bCs/>
          <w:kern w:val="0"/>
          <w:sz w:val="32"/>
          <w:szCs w:val="32"/>
        </w:rPr>
        <w:t>附件一:响应文件格式</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报价人的响应文件应包含以下部分：</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一、询价响应声明</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附件1：法定代表人身份证明</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附件2：法定代表人授权书</w:t>
      </w:r>
    </w:p>
    <w:p>
      <w:pPr>
        <w:pStyle w:val="10"/>
        <w:numPr>
          <w:ilvl w:val="0"/>
          <w:numId w:val="1"/>
        </w:numPr>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报价人的营业执照</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三、主要人员和类似业绩</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附件3：主要人员简历表</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附件4：类似业绩表</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四、报价一览表</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附件5：报价一览表</w:t>
      </w:r>
    </w:p>
    <w:p>
      <w:pPr>
        <w:pStyle w:val="10"/>
        <w:spacing w:before="0" w:beforeAutospacing="0" w:after="0" w:afterAutospacing="0" w:line="450" w:lineRule="atLeast"/>
        <w:textAlignment w:val="baseline"/>
        <w:rPr>
          <w:rFonts w:ascii="仿宋" w:hAnsi="仿宋" w:eastAsia="仿宋" w:cs="仿宋"/>
          <w:sz w:val="28"/>
          <w:szCs w:val="28"/>
        </w:rPr>
      </w:pPr>
      <w:r>
        <w:rPr>
          <w:rFonts w:hint="eastAsia" w:ascii="仿宋" w:hAnsi="仿宋" w:eastAsia="仿宋" w:cs="仿宋"/>
          <w:sz w:val="28"/>
          <w:szCs w:val="28"/>
        </w:rPr>
        <w:t>五、报价人认为需提供的其他资料</w:t>
      </w: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一、询价响应声明</w:t>
      </w:r>
    </w:p>
    <w:p>
      <w:pPr>
        <w:adjustRightInd w:val="0"/>
        <w:snapToGrid w:val="0"/>
        <w:spacing w:line="360" w:lineRule="auto"/>
        <w:rPr>
          <w:rFonts w:ascii="宋体" w:hAnsi="宋体"/>
          <w:sz w:val="24"/>
        </w:rPr>
      </w:pP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(询价人)：</w:t>
      </w:r>
    </w:p>
    <w:p>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我方己仔细研究了</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通和沁园春晓项目</w:t>
      </w:r>
      <w:r>
        <w:rPr>
          <w:rFonts w:hint="eastAsia" w:ascii="仿宋" w:hAnsi="仿宋" w:eastAsia="仿宋" w:cs="仿宋"/>
          <w:sz w:val="28"/>
          <w:szCs w:val="28"/>
          <w:u w:val="single"/>
          <w:lang w:val="en-US" w:eastAsia="zh-CN"/>
        </w:rPr>
        <w:t xml:space="preserve"> 全过程设计优化服务</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项目名称)的询价文件的全部内容，知悉参加询价的风险，我方承诺接受询价文件的全部条款且无任何异议。</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一、我方同意在询价文件中规定的提交响应文件截止时间起</w:t>
      </w:r>
      <w:r>
        <w:rPr>
          <w:rFonts w:hint="eastAsia" w:ascii="仿宋" w:hAnsi="仿宋" w:eastAsia="仿宋" w:cs="仿宋"/>
          <w:sz w:val="28"/>
          <w:szCs w:val="28"/>
          <w:u w:val="single"/>
        </w:rPr>
        <w:t xml:space="preserve">    </w:t>
      </w:r>
      <w:r>
        <w:rPr>
          <w:rFonts w:hint="eastAsia" w:ascii="仿宋" w:hAnsi="仿宋" w:eastAsia="仿宋" w:cs="仿宋"/>
          <w:sz w:val="28"/>
          <w:szCs w:val="28"/>
        </w:rPr>
        <w:t>日内(响应文件有效期)遵守本响应文件中的承诺且在此期限期满之前均具有法律约束力。</w:t>
      </w:r>
    </w:p>
    <w:p>
      <w:pPr>
        <w:pStyle w:val="5"/>
        <w:adjustRightInd w:val="0"/>
        <w:snapToGrid w:val="0"/>
        <w:spacing w:line="360" w:lineRule="auto"/>
        <w:ind w:firstLine="560" w:firstLineChars="200"/>
        <w:rPr>
          <w:rFonts w:ascii="仿宋" w:hAnsi="仿宋" w:eastAsia="仿宋" w:cs="仿宋"/>
          <w:bCs/>
          <w:sz w:val="28"/>
          <w:szCs w:val="28"/>
        </w:rPr>
      </w:pPr>
      <w:r>
        <w:rPr>
          <w:rFonts w:hint="eastAsia" w:ascii="仿宋" w:hAnsi="仿宋" w:eastAsia="仿宋" w:cs="仿宋"/>
          <w:sz w:val="28"/>
          <w:szCs w:val="28"/>
        </w:rPr>
        <w:t xml:space="preserve">二、我方提交响应文件正本一份和副本一式 </w:t>
      </w:r>
      <w:r>
        <w:rPr>
          <w:rFonts w:hint="eastAsia" w:ascii="仿宋" w:hAnsi="仿宋" w:eastAsia="仿宋" w:cs="仿宋"/>
          <w:sz w:val="28"/>
          <w:szCs w:val="28"/>
          <w:u w:val="single"/>
        </w:rPr>
        <w:t xml:space="preserve">   </w:t>
      </w:r>
      <w:r>
        <w:rPr>
          <w:rFonts w:hint="eastAsia" w:ascii="仿宋" w:hAnsi="仿宋" w:eastAsia="仿宋" w:cs="仿宋"/>
          <w:sz w:val="28"/>
          <w:szCs w:val="28"/>
        </w:rPr>
        <w:t>份，并保证响应文件提供的数据和材料是真实、准确的。否则，愿承担相关</w:t>
      </w:r>
      <w:r>
        <w:rPr>
          <w:rFonts w:hint="eastAsia" w:ascii="仿宋" w:hAnsi="仿宋" w:eastAsia="仿宋" w:cs="仿宋"/>
          <w:bCs/>
          <w:sz w:val="28"/>
          <w:szCs w:val="28"/>
        </w:rPr>
        <w:t>的法律责任。</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三、我方愿意向贵方提供任何与本项采购有关的数据、情况和技术资料。若贵方需要，我方愿意提供我方作出的一切承诺的证明材料。</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四、我方承诺遵守法律法规的有关规定，保证在获得成交资格后，按照询价文件确定的事项签订合同，履行双方所签订的合同，并承担合同规定的责任和义务。</w:t>
      </w:r>
    </w:p>
    <w:p>
      <w:pPr>
        <w:adjustRightInd w:val="0"/>
        <w:snapToGrid w:val="0"/>
        <w:spacing w:line="360" w:lineRule="auto"/>
        <w:ind w:right="24"/>
        <w:rPr>
          <w:rFonts w:ascii="宋体" w:hAnsi="宋体"/>
          <w:bCs/>
          <w:szCs w:val="21"/>
        </w:rPr>
      </w:pP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附件1：法定代表人身份证明</w:t>
      </w: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附件2：法定代表人授权书</w:t>
      </w: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报价人名称(盖单位章)：</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 xml:space="preserve">法定代表人或其委托代理人 (签字)：            </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日期：            年            月            日</w:t>
      </w:r>
    </w:p>
    <w:p>
      <w:pPr>
        <w:adjustRightInd w:val="0"/>
        <w:snapToGrid w:val="0"/>
        <w:spacing w:line="360" w:lineRule="auto"/>
        <w:ind w:right="24"/>
        <w:rPr>
          <w:rFonts w:ascii="仿宋" w:hAnsi="仿宋" w:eastAsia="仿宋" w:cs="仿宋"/>
          <w:sz w:val="28"/>
          <w:szCs w:val="28"/>
        </w:rPr>
      </w:pPr>
    </w:p>
    <w:p>
      <w:pPr>
        <w:adjustRightInd w:val="0"/>
        <w:snapToGrid w:val="0"/>
        <w:spacing w:line="360" w:lineRule="auto"/>
        <w:ind w:right="24"/>
        <w:rPr>
          <w:rFonts w:ascii="宋体" w:hAnsi="宋体"/>
          <w:bCs/>
          <w:sz w:val="32"/>
          <w:szCs w:val="32"/>
        </w:rPr>
      </w:pPr>
      <w:r>
        <w:rPr>
          <w:rFonts w:hint="eastAsia" w:ascii="宋体" w:hAnsi="宋体"/>
          <w:bCs/>
          <w:sz w:val="32"/>
          <w:szCs w:val="32"/>
        </w:rPr>
        <w:t>附件1</w:t>
      </w:r>
    </w:p>
    <w:p>
      <w:pPr>
        <w:jc w:val="center"/>
        <w:rPr>
          <w:rFonts w:ascii="宋体" w:hAnsi="宋体"/>
          <w:sz w:val="36"/>
          <w:szCs w:val="36"/>
        </w:rPr>
      </w:pPr>
      <w:r>
        <w:rPr>
          <w:rFonts w:hint="eastAsia" w:ascii="宋体" w:hAnsi="宋体"/>
          <w:sz w:val="36"/>
          <w:szCs w:val="36"/>
        </w:rPr>
        <w:t>法定代表人身份证明</w:t>
      </w:r>
    </w:p>
    <w:p>
      <w:pPr>
        <w:snapToGrid w:val="0"/>
        <w:spacing w:line="480" w:lineRule="auto"/>
        <w:rPr>
          <w:rFonts w:ascii="宋体" w:hAnsi="宋体"/>
          <w:szCs w:val="21"/>
        </w:rPr>
      </w:pP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报价人</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注册号：</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szCs w:val="21"/>
        </w:rPr>
        <w:t>报价人</w:t>
      </w:r>
      <w:r>
        <w:rPr>
          <w:rFonts w:hint="eastAsia" w:ascii="宋体" w:hAnsi="宋体" w:cs="宋体"/>
          <w:kern w:val="0"/>
          <w:szCs w:val="21"/>
        </w:rPr>
        <w:t>名称）的法定代表人。</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附：法定代表人身份证复印件</w:t>
      </w:r>
    </w:p>
    <w:p>
      <w:pPr>
        <w:snapToGrid w:val="0"/>
        <w:spacing w:line="480" w:lineRule="auto"/>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报价人名称（盖单位章）：</w:t>
      </w:r>
    </w:p>
    <w:p>
      <w:pPr>
        <w:adjustRightInd w:val="0"/>
        <w:snapToGrid w:val="0"/>
        <w:spacing w:line="360" w:lineRule="auto"/>
        <w:ind w:right="42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 w:val="32"/>
          <w:szCs w:val="32"/>
        </w:rPr>
      </w:pPr>
      <w:r>
        <w:rPr>
          <w:rFonts w:ascii="宋体" w:hAnsi="宋体"/>
          <w:szCs w:val="21"/>
        </w:rPr>
        <w:br w:type="page"/>
      </w:r>
      <w:r>
        <w:rPr>
          <w:rFonts w:hint="eastAsia" w:ascii="宋体" w:hAnsi="宋体"/>
          <w:bCs/>
          <w:sz w:val="32"/>
          <w:szCs w:val="32"/>
        </w:rPr>
        <w:t>附件2</w:t>
      </w:r>
    </w:p>
    <w:p>
      <w:pPr>
        <w:jc w:val="center"/>
        <w:rPr>
          <w:rFonts w:ascii="宋体" w:hAnsi="宋体"/>
          <w:sz w:val="36"/>
          <w:szCs w:val="36"/>
        </w:rPr>
      </w:pPr>
      <w:r>
        <w:rPr>
          <w:rFonts w:hint="eastAsia" w:ascii="宋体" w:hAnsi="宋体"/>
          <w:sz w:val="36"/>
          <w:szCs w:val="36"/>
        </w:rPr>
        <w:t>法定代表人授权书</w:t>
      </w:r>
    </w:p>
    <w:p>
      <w:pPr>
        <w:adjustRightInd w:val="0"/>
        <w:snapToGrid w:val="0"/>
        <w:spacing w:line="360" w:lineRule="auto"/>
        <w:jc w:val="center"/>
        <w:rPr>
          <w:rFonts w:ascii="宋体" w:hAnsi="宋体"/>
          <w:b/>
          <w:sz w:val="28"/>
          <w:szCs w:val="28"/>
        </w:rPr>
      </w:pP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szCs w:val="21"/>
        </w:rPr>
        <w:t>报价人</w:t>
      </w:r>
      <w:r>
        <w:rPr>
          <w:rFonts w:hint="eastAsia" w:ascii="宋体" w:hAnsi="宋体" w:cs="宋体"/>
          <w:kern w:val="0"/>
          <w:szCs w:val="21"/>
        </w:rPr>
        <w:t>名称）的法定代表人，现授权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（姓名、职务）为我方代理人。代理人根据授权，以我方名义：(1)签署、澄清、补正、修改、撤回、提交</w:t>
      </w:r>
      <w:r>
        <w:rPr>
          <w:rFonts w:hint="eastAsia" w:ascii="宋体" w:hAnsi="宋体" w:cs="宋体"/>
          <w:kern w:val="0"/>
          <w:szCs w:val="21"/>
          <w:u w:val="single"/>
        </w:rPr>
        <w:t xml:space="preserve"> </w:t>
      </w:r>
      <w:r>
        <w:rPr>
          <w:rFonts w:hint="eastAsia" w:ascii="宋体" w:hAnsi="宋体" w:cs="宋体"/>
          <w:kern w:val="0"/>
          <w:szCs w:val="21"/>
          <w:u w:val="single"/>
          <w:lang w:eastAsia="zh-CN"/>
        </w:rPr>
        <w:t>通和沁园春晓</w:t>
      </w:r>
      <w:r>
        <w:rPr>
          <w:rFonts w:hint="eastAsia" w:ascii="宋体" w:hAnsi="宋体" w:eastAsia="宋体" w:cs="宋体"/>
          <w:kern w:val="0"/>
          <w:sz w:val="21"/>
          <w:szCs w:val="21"/>
          <w:u w:val="single"/>
        </w:rPr>
        <w:t xml:space="preserve"> </w:t>
      </w:r>
      <w:r>
        <w:rPr>
          <w:rFonts w:hint="eastAsia" w:ascii="宋体" w:hAnsi="宋体" w:cs="宋体"/>
          <w:kern w:val="0"/>
          <w:szCs w:val="21"/>
        </w:rPr>
        <w:t>（项目名称）</w:t>
      </w:r>
      <w:r>
        <w:rPr>
          <w:rFonts w:hint="eastAsia" w:ascii="宋体" w:hAnsi="宋体" w:cs="宋体"/>
          <w:kern w:val="0"/>
          <w:szCs w:val="21"/>
          <w:lang w:eastAsia="zh-CN"/>
        </w:rPr>
        <w:t>的</w:t>
      </w:r>
      <w:r>
        <w:rPr>
          <w:rFonts w:hint="eastAsia" w:ascii="宋体" w:hAnsi="宋体" w:cs="宋体"/>
          <w:kern w:val="0"/>
          <w:szCs w:val="21"/>
        </w:rPr>
        <w:t>响应文件；(2)签订合同和处理有关事宜，其法律后果由我方承担。</w:t>
      </w: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spacing w:line="360" w:lineRule="auto"/>
        <w:ind w:firstLine="435"/>
        <w:rPr>
          <w:rFonts w:ascii="宋体" w:hAnsi="宋体" w:cs="宋体"/>
          <w:kern w:val="0"/>
          <w:szCs w:val="21"/>
        </w:rPr>
      </w:pPr>
      <w:r>
        <w:rPr>
          <w:rFonts w:hint="eastAsia" w:ascii="宋体" w:hAnsi="宋体" w:cs="宋体"/>
          <w:kern w:val="0"/>
          <w:szCs w:val="21"/>
        </w:rPr>
        <w:t>代理人无转委托权。</w:t>
      </w:r>
    </w:p>
    <w:p>
      <w:pPr>
        <w:spacing w:line="360" w:lineRule="auto"/>
        <w:ind w:firstLine="435"/>
        <w:rPr>
          <w:rFonts w:ascii="宋体" w:hAnsi="宋体"/>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p>
      <w:pPr>
        <w:spacing w:line="360" w:lineRule="auto"/>
        <w:ind w:firstLine="435"/>
        <w:rPr>
          <w:rFonts w:ascii="宋体" w:hAnsi="宋体"/>
          <w:szCs w:val="21"/>
        </w:rPr>
      </w:pPr>
      <w:r>
        <w:rPr>
          <w:rFonts w:hint="eastAsia" w:ascii="宋体" w:hAnsi="宋体"/>
          <w:szCs w:val="21"/>
        </w:rPr>
        <w:t>附：委托代理人身份证复印件</w:t>
      </w:r>
    </w:p>
    <w:p>
      <w:pPr>
        <w:spacing w:line="360" w:lineRule="auto"/>
        <w:ind w:firstLine="435"/>
        <w:rPr>
          <w:rFonts w:ascii="宋体" w:hAnsi="宋体"/>
          <w:szCs w:val="21"/>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line="360" w:lineRule="auto"/>
        <w:ind w:right="420"/>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法定代表人（签字）：</w:t>
      </w:r>
      <w:r>
        <w:rPr>
          <w:rFonts w:hint="eastAsia" w:ascii="宋体" w:hAnsi="宋体"/>
          <w:szCs w:val="21"/>
          <w:u w:val="single"/>
        </w:rPr>
        <w:t xml:space="preserve">                     </w:t>
      </w:r>
    </w:p>
    <w:p>
      <w:pPr>
        <w:adjustRightInd w:val="0"/>
        <w:snapToGrid w:val="0"/>
        <w:spacing w:line="360" w:lineRule="auto"/>
        <w:ind w:right="420"/>
        <w:rPr>
          <w:rFonts w:ascii="宋体" w:hAnsi="宋体"/>
          <w:szCs w:val="21"/>
        </w:rPr>
      </w:pPr>
      <w:r>
        <w:rPr>
          <w:rFonts w:hint="eastAsia" w:ascii="宋体" w:hAnsi="宋体"/>
          <w:szCs w:val="21"/>
        </w:rPr>
        <w:t>委托代理人（签字）：</w:t>
      </w:r>
      <w:r>
        <w:rPr>
          <w:rFonts w:hint="eastAsia" w:ascii="宋体" w:hAnsi="宋体"/>
          <w:szCs w:val="21"/>
          <w:u w:val="single"/>
        </w:rPr>
        <w:t xml:space="preserve">                     </w:t>
      </w:r>
    </w:p>
    <w:p>
      <w:pPr>
        <w:adjustRightInd w:val="0"/>
        <w:snapToGrid w:val="0"/>
        <w:spacing w:line="360" w:lineRule="auto"/>
        <w:ind w:right="24"/>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jc w:val="center"/>
        <w:rPr>
          <w:rFonts w:ascii="宋体" w:hAnsi="宋体"/>
          <w:sz w:val="44"/>
          <w:szCs w:val="44"/>
        </w:rPr>
      </w:pPr>
      <w:r>
        <w:rPr>
          <w:rFonts w:ascii="宋体" w:hAnsi="宋体"/>
          <w:b/>
        </w:rPr>
        <w:br w:type="page"/>
      </w:r>
    </w:p>
    <w:p>
      <w:pPr>
        <w:spacing w:line="360" w:lineRule="exact"/>
        <w:jc w:val="center"/>
        <w:rPr>
          <w:rFonts w:ascii="宋体" w:hAnsi="宋体"/>
          <w:sz w:val="44"/>
          <w:szCs w:val="44"/>
        </w:rPr>
      </w:pPr>
    </w:p>
    <w:p>
      <w:pPr>
        <w:numPr>
          <w:ilvl w:val="0"/>
          <w:numId w:val="2"/>
        </w:numPr>
        <w:adjustRightInd w:val="0"/>
        <w:snapToGrid w:val="0"/>
        <w:spacing w:line="360" w:lineRule="auto"/>
        <w:jc w:val="center"/>
        <w:outlineLvl w:val="0"/>
        <w:rPr>
          <w:rFonts w:ascii="宋体" w:hAnsi="宋体"/>
          <w:sz w:val="44"/>
          <w:szCs w:val="44"/>
        </w:rPr>
      </w:pPr>
      <w:r>
        <w:rPr>
          <w:rFonts w:hint="eastAsia" w:ascii="宋体" w:hAnsi="宋体"/>
          <w:sz w:val="44"/>
          <w:szCs w:val="44"/>
        </w:rPr>
        <w:t>报价人的营业执照</w:t>
      </w:r>
    </w:p>
    <w:p>
      <w:pPr>
        <w:adjustRightInd w:val="0"/>
        <w:snapToGrid w:val="0"/>
        <w:spacing w:line="360" w:lineRule="auto"/>
        <w:outlineLvl w:val="0"/>
        <w:rPr>
          <w:rFonts w:ascii="宋体" w:hAnsi="宋体"/>
          <w:sz w:val="44"/>
          <w:szCs w:val="44"/>
        </w:rPr>
      </w:pPr>
    </w:p>
    <w:p>
      <w:pPr>
        <w:adjustRightInd w:val="0"/>
        <w:snapToGrid w:val="0"/>
        <w:spacing w:line="360" w:lineRule="auto"/>
        <w:outlineLvl w:val="0"/>
        <w:rPr>
          <w:rFonts w:ascii="宋体" w:hAnsi="宋体"/>
          <w:sz w:val="44"/>
          <w:szCs w:val="44"/>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bookmarkStart w:id="2" w:name="_GoBack"/>
      <w:bookmarkEnd w:id="2"/>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spacing w:line="360" w:lineRule="auto"/>
        <w:outlineLvl w:val="0"/>
        <w:rPr>
          <w:rFonts w:ascii="宋体" w:hAnsi="宋体"/>
          <w:sz w:val="44"/>
          <w:szCs w:val="4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三、项目主要人员和类似业绩</w:t>
      </w:r>
    </w:p>
    <w:p>
      <w:pPr>
        <w:adjustRightInd w:val="0"/>
        <w:snapToGrid w:val="0"/>
        <w:rPr>
          <w:rFonts w:ascii="宋体" w:hAnsi="宋体"/>
          <w:b/>
          <w:bCs/>
          <w:sz w:val="24"/>
        </w:rPr>
      </w:pPr>
      <w:r>
        <w:rPr>
          <w:rFonts w:hint="eastAsia" w:ascii="宋体" w:hAnsi="宋体"/>
          <w:b/>
          <w:bCs/>
          <w:sz w:val="24"/>
        </w:rPr>
        <w:t xml:space="preserve"> </w:t>
      </w:r>
    </w:p>
    <w:p>
      <w:pPr>
        <w:adjustRightInd w:val="0"/>
        <w:snapToGrid w:val="0"/>
        <w:ind w:left="-88" w:leftChars="-42" w:firstLine="241" w:firstLineChars="100"/>
        <w:jc w:val="center"/>
        <w:rPr>
          <w:rFonts w:ascii="宋体" w:hAnsi="宋体"/>
          <w:b/>
          <w:bCs/>
          <w:sz w:val="24"/>
        </w:rPr>
      </w:pPr>
      <w:r>
        <w:rPr>
          <w:rFonts w:hint="eastAsia" w:ascii="宋体" w:hAnsi="宋体"/>
          <w:b/>
          <w:bCs/>
          <w:sz w:val="24"/>
        </w:rPr>
        <w:t>附件3：项目主要人员简历表</w:t>
      </w:r>
    </w:p>
    <w:tbl>
      <w:tblPr>
        <w:tblStyle w:val="11"/>
        <w:tblW w:w="8503"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77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91" w:hRule="exact"/>
        </w:trPr>
        <w:tc>
          <w:tcPr>
            <w:tcW w:w="2032" w:type="dxa"/>
            <w:gridSpan w:val="2"/>
            <w:vAlign w:val="center"/>
          </w:tcPr>
          <w:p>
            <w:pPr>
              <w:spacing w:line="360" w:lineRule="atLeast"/>
              <w:jc w:val="center"/>
              <w:rPr>
                <w:rFonts w:ascii="宋体" w:hAnsi="宋体"/>
              </w:rPr>
            </w:pPr>
            <w:r>
              <w:rPr>
                <w:rFonts w:hint="eastAsia" w:ascii="宋体" w:hAnsi="宋体"/>
              </w:rPr>
              <w:t>姓</w:t>
            </w:r>
            <w:r>
              <w:rPr>
                <w:rFonts w:ascii="宋体" w:hAnsi="宋体"/>
              </w:rPr>
              <w:t xml:space="preserve">   </w:t>
            </w:r>
            <w:r>
              <w:rPr>
                <w:rFonts w:hint="eastAsia" w:ascii="宋体" w:hAnsi="宋体"/>
              </w:rPr>
              <w:t>名</w:t>
            </w:r>
          </w:p>
        </w:tc>
        <w:tc>
          <w:tcPr>
            <w:tcW w:w="2468" w:type="dxa"/>
            <w:vAlign w:val="center"/>
          </w:tcPr>
          <w:p>
            <w:pPr>
              <w:spacing w:line="360" w:lineRule="atLeast"/>
              <w:jc w:val="center"/>
              <w:rPr>
                <w:rFonts w:ascii="宋体" w:hAnsi="宋体"/>
              </w:rPr>
            </w:pPr>
          </w:p>
        </w:tc>
        <w:tc>
          <w:tcPr>
            <w:tcW w:w="2340" w:type="dxa"/>
            <w:gridSpan w:val="3"/>
            <w:vAlign w:val="center"/>
          </w:tcPr>
          <w:p>
            <w:pPr>
              <w:spacing w:line="360" w:lineRule="atLeast"/>
              <w:jc w:val="center"/>
              <w:rPr>
                <w:rFonts w:ascii="宋体" w:hAnsi="宋体"/>
              </w:rPr>
            </w:pPr>
            <w:r>
              <w:rPr>
                <w:rFonts w:hint="eastAsia" w:ascii="宋体" w:hAnsi="宋体"/>
              </w:rPr>
              <w:t>性</w:t>
            </w:r>
            <w:r>
              <w:rPr>
                <w:rFonts w:ascii="宋体" w:hAnsi="宋体"/>
              </w:rPr>
              <w:t xml:space="preserve">  </w:t>
            </w:r>
            <w:r>
              <w:rPr>
                <w:rFonts w:hint="eastAsia" w:ascii="宋体" w:hAnsi="宋体"/>
              </w:rPr>
              <w:t>别</w:t>
            </w:r>
          </w:p>
        </w:tc>
        <w:tc>
          <w:tcPr>
            <w:tcW w:w="1663" w:type="dxa"/>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13" w:hRule="exact"/>
        </w:trPr>
        <w:tc>
          <w:tcPr>
            <w:tcW w:w="2032" w:type="dxa"/>
            <w:gridSpan w:val="2"/>
            <w:vAlign w:val="center"/>
          </w:tcPr>
          <w:p>
            <w:pPr>
              <w:spacing w:line="360" w:lineRule="atLeast"/>
              <w:jc w:val="center"/>
              <w:rPr>
                <w:rFonts w:ascii="宋体" w:hAnsi="宋体"/>
              </w:rPr>
            </w:pPr>
            <w:r>
              <w:rPr>
                <w:rFonts w:hint="eastAsia" w:ascii="宋体" w:hAnsi="宋体"/>
              </w:rPr>
              <w:t>拟在本合同任职</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职称</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文化程度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身份证号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资格证书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编   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0" w:hRule="exact"/>
        </w:trPr>
        <w:tc>
          <w:tcPr>
            <w:tcW w:w="8503" w:type="dxa"/>
            <w:gridSpan w:val="7"/>
            <w:vAlign w:val="center"/>
          </w:tcPr>
          <w:p>
            <w:pPr>
              <w:spacing w:line="360" w:lineRule="atLeast"/>
              <w:rPr>
                <w:rFonts w:ascii="宋体" w:hAnsi="宋体"/>
              </w:rPr>
            </w:pPr>
            <w:r>
              <w:rPr>
                <w:rFonts w:hint="eastAsia" w:ascii="宋体" w:hAnsi="宋体"/>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r>
              <w:rPr>
                <w:rFonts w:hint="eastAsia" w:ascii="宋体" w:hAnsi="宋体"/>
              </w:rPr>
              <w:t>时间</w:t>
            </w:r>
          </w:p>
        </w:tc>
        <w:tc>
          <w:tcPr>
            <w:tcW w:w="3636" w:type="dxa"/>
            <w:gridSpan w:val="3"/>
            <w:vAlign w:val="center"/>
          </w:tcPr>
          <w:p>
            <w:pPr>
              <w:spacing w:line="360" w:lineRule="atLeast"/>
              <w:jc w:val="center"/>
              <w:rPr>
                <w:rFonts w:ascii="宋体" w:hAnsi="宋体"/>
              </w:rPr>
            </w:pPr>
            <w:r>
              <w:rPr>
                <w:rFonts w:hint="eastAsia" w:ascii="宋体" w:hAnsi="宋体"/>
              </w:rPr>
              <w:t>类似业绩项目名称</w:t>
            </w:r>
          </w:p>
        </w:tc>
        <w:tc>
          <w:tcPr>
            <w:tcW w:w="1404" w:type="dxa"/>
            <w:vAlign w:val="center"/>
          </w:tcPr>
          <w:p>
            <w:pPr>
              <w:spacing w:line="360" w:lineRule="atLeast"/>
              <w:jc w:val="center"/>
              <w:rPr>
                <w:rFonts w:ascii="宋体" w:hAnsi="宋体"/>
              </w:rPr>
            </w:pPr>
            <w:r>
              <w:rPr>
                <w:rFonts w:hint="eastAsia" w:ascii="宋体" w:hAnsi="宋体"/>
              </w:rPr>
              <w:t>担任职务</w:t>
            </w:r>
          </w:p>
        </w:tc>
        <w:tc>
          <w:tcPr>
            <w:tcW w:w="2203" w:type="dxa"/>
            <w:gridSpan w:val="2"/>
            <w:vAlign w:val="center"/>
          </w:tcPr>
          <w:p>
            <w:pPr>
              <w:spacing w:line="360" w:lineRule="atLeast"/>
              <w:jc w:val="center"/>
              <w:rPr>
                <w:rFonts w:ascii="宋体" w:hAnsi="宋体"/>
              </w:rPr>
            </w:pPr>
            <w:r>
              <w:rPr>
                <w:rFonts w:hint="eastAsia" w:ascii="宋体" w:hAnsi="宋体"/>
              </w:rPr>
              <w:t>委托人名称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bl>
    <w:p>
      <w:pPr>
        <w:spacing w:line="360" w:lineRule="atLeast"/>
        <w:rPr>
          <w:rFonts w:ascii="宋体" w:hAnsi="宋体"/>
        </w:rPr>
      </w:pPr>
      <w:r>
        <w:rPr>
          <w:rFonts w:hint="eastAsia" w:ascii="宋体" w:hAnsi="宋体"/>
          <w:szCs w:val="21"/>
        </w:rPr>
        <w:t>说明</w:t>
      </w:r>
      <w:r>
        <w:rPr>
          <w:rFonts w:hint="eastAsia" w:ascii="宋体" w:hAnsi="宋体"/>
        </w:rPr>
        <w:t>：</w:t>
      </w:r>
      <w:r>
        <w:rPr>
          <w:rFonts w:hint="eastAsia" w:ascii="宋体" w:hAnsi="宋体"/>
          <w:szCs w:val="21"/>
        </w:rPr>
        <w:t>主要人员身份证按</w:t>
      </w:r>
      <w:r>
        <w:rPr>
          <w:rFonts w:hint="eastAsia" w:ascii="宋体" w:hAnsi="宋体"/>
        </w:rPr>
        <w:t>要求提供。</w:t>
      </w:r>
    </w:p>
    <w:p>
      <w:pPr>
        <w:adjustRightInd w:val="0"/>
        <w:snapToGrid w:val="0"/>
        <w:spacing w:line="360" w:lineRule="auto"/>
        <w:rPr>
          <w:rFonts w:ascii="宋体" w:hAnsi="宋体"/>
          <w:szCs w:val="21"/>
        </w:rPr>
      </w:pPr>
    </w:p>
    <w:p>
      <w:pPr>
        <w:rPr>
          <w:rFonts w:ascii="宋体" w:hAnsi="宋体"/>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pStyle w:val="5"/>
        <w:adjustRightInd w:val="0"/>
        <w:snapToGrid w:val="0"/>
        <w:spacing w:line="480" w:lineRule="exact"/>
        <w:jc w:val="center"/>
        <w:rPr>
          <w:rFonts w:hAnsi="宋体"/>
          <w:sz w:val="24"/>
        </w:rPr>
      </w:pPr>
      <w:r>
        <w:rPr>
          <w:rFonts w:hAnsi="宋体"/>
          <w:b/>
          <w:sz w:val="32"/>
          <w:szCs w:val="32"/>
        </w:rPr>
        <w:br w:type="page"/>
      </w:r>
      <w:r>
        <w:rPr>
          <w:rFonts w:hint="eastAsia" w:hAnsi="宋体" w:cs="Times New Roman"/>
          <w:b/>
          <w:bCs/>
          <w:sz w:val="24"/>
          <w:szCs w:val="24"/>
        </w:rPr>
        <w:t>附件4：类似业绩表</w:t>
      </w:r>
    </w:p>
    <w:tbl>
      <w:tblPr>
        <w:tblStyle w:val="11"/>
        <w:tblW w:w="8522"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8"/>
        <w:gridCol w:w="6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项目所在地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委托单位地址</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委托单位联系电话</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合同金额（万元）</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合同周期（天）</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承担的工作</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负责人</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受奖励情况</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ascii="宋体" w:hAnsi="宋体"/>
                <w:szCs w:val="21"/>
              </w:rPr>
              <w:t>……</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9" w:hRule="atLeast"/>
          <w:jc w:val="center"/>
        </w:trPr>
        <w:tc>
          <w:tcPr>
            <w:tcW w:w="2308" w:type="dxa"/>
            <w:vAlign w:val="center"/>
          </w:tcPr>
          <w:p>
            <w:pPr>
              <w:jc w:val="center"/>
              <w:rPr>
                <w:rFonts w:ascii="宋体" w:hAnsi="宋体"/>
                <w:szCs w:val="21"/>
              </w:rPr>
            </w:pPr>
            <w:r>
              <w:rPr>
                <w:rFonts w:hint="eastAsia" w:ascii="宋体" w:hAnsi="宋体"/>
                <w:szCs w:val="21"/>
              </w:rPr>
              <w:t>备注</w:t>
            </w:r>
          </w:p>
        </w:tc>
        <w:tc>
          <w:tcPr>
            <w:tcW w:w="6214" w:type="dxa"/>
            <w:vAlign w:val="center"/>
          </w:tcPr>
          <w:p>
            <w:pPr>
              <w:jc w:val="center"/>
              <w:rPr>
                <w:rFonts w:ascii="宋体" w:hAnsi="宋体"/>
                <w:szCs w:val="21"/>
              </w:rPr>
            </w:pPr>
          </w:p>
        </w:tc>
      </w:tr>
    </w:tbl>
    <w:p>
      <w:pPr>
        <w:rPr>
          <w:rFonts w:ascii="宋体" w:hAnsi="宋体"/>
          <w:szCs w:val="21"/>
        </w:rPr>
      </w:pPr>
      <w:r>
        <w:rPr>
          <w:rFonts w:hint="eastAsia" w:ascii="宋体" w:hAnsi="宋体"/>
          <w:szCs w:val="21"/>
        </w:rPr>
        <w:t xml:space="preserve">   </w:t>
      </w: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tabs>
          <w:tab w:val="left" w:pos="3600"/>
        </w:tabs>
        <w:adjustRightInd w:val="0"/>
        <w:snapToGrid w:val="0"/>
        <w:jc w:val="center"/>
        <w:rPr>
          <w:rFonts w:ascii="宋体" w:hAnsi="宋体"/>
          <w:bCs/>
          <w:szCs w:val="21"/>
        </w:rPr>
      </w:pPr>
      <w:r>
        <w:rPr>
          <w:rFonts w:ascii="宋体" w:hAnsi="宋体"/>
          <w:b/>
          <w:sz w:val="32"/>
          <w:szCs w:val="32"/>
        </w:rPr>
        <w:br w:type="page"/>
      </w:r>
    </w:p>
    <w:p>
      <w:pPr>
        <w:adjustRightInd w:val="0"/>
        <w:snapToGrid w:val="0"/>
        <w:spacing w:line="360" w:lineRule="auto"/>
        <w:jc w:val="center"/>
        <w:outlineLvl w:val="0"/>
        <w:rPr>
          <w:rFonts w:ascii="宋体" w:hAnsi="宋体"/>
          <w:sz w:val="24"/>
        </w:rPr>
      </w:pPr>
      <w:r>
        <w:rPr>
          <w:rFonts w:hint="eastAsia" w:ascii="宋体" w:hAnsi="宋体"/>
          <w:sz w:val="44"/>
          <w:szCs w:val="44"/>
        </w:rPr>
        <w:t>四、报价一览表</w:t>
      </w:r>
    </w:p>
    <w:p>
      <w:pPr>
        <w:pStyle w:val="5"/>
        <w:adjustRightInd w:val="0"/>
        <w:snapToGrid w:val="0"/>
        <w:spacing w:line="480" w:lineRule="exact"/>
        <w:jc w:val="center"/>
        <w:rPr>
          <w:rFonts w:hAnsi="宋体"/>
          <w:sz w:val="24"/>
        </w:rPr>
      </w:pPr>
      <w:r>
        <w:rPr>
          <w:rFonts w:hint="eastAsia" w:hAnsi="宋体" w:cs="Times New Roman"/>
          <w:b/>
          <w:bCs/>
          <w:sz w:val="24"/>
          <w:szCs w:val="24"/>
        </w:rPr>
        <w:t>附件5：报价一览表</w:t>
      </w:r>
    </w:p>
    <w:p>
      <w:pPr>
        <w:adjustRightInd w:val="0"/>
        <w:snapToGrid w:val="0"/>
        <w:rPr>
          <w:rFonts w:ascii="宋体" w:hAnsi="宋体"/>
          <w:sz w:val="24"/>
        </w:rPr>
      </w:pPr>
    </w:p>
    <w:tbl>
      <w:tblPr>
        <w:tblStyle w:val="11"/>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73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1491" w:type="dxa"/>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szCs w:val="21"/>
              </w:rPr>
            </w:pPr>
            <w:r>
              <w:rPr>
                <w:rFonts w:ascii="宋体" w:hAnsi="宋体"/>
                <w:szCs w:val="21"/>
              </w:rPr>
              <w:t>项目名称</w:t>
            </w:r>
            <w:r>
              <w:rPr>
                <w:rFonts w:ascii="宋体" w:hAnsi="宋体"/>
                <w:szCs w:val="21"/>
              </w:rPr>
              <w:tab/>
            </w:r>
            <w:r>
              <w:rPr>
                <w:rFonts w:ascii="宋体" w:hAnsi="宋体"/>
                <w:szCs w:val="21"/>
              </w:rPr>
              <w:t>项目名称</w:t>
            </w:r>
          </w:p>
        </w:tc>
        <w:tc>
          <w:tcPr>
            <w:tcW w:w="7329"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ascii="宋体" w:hAnsi="宋体"/>
                <w:szCs w:val="21"/>
              </w:rPr>
            </w:pPr>
            <w:r>
              <w:rPr>
                <w:rFonts w:hint="eastAsia" w:ascii="宋体" w:hAnsi="宋体" w:eastAsia="宋体" w:cs="宋体"/>
                <w:sz w:val="21"/>
                <w:szCs w:val="21"/>
                <w:u w:val="none"/>
                <w:lang w:val="en-US" w:eastAsia="zh-CN"/>
              </w:rPr>
              <w:t>通和沁园春晓项目 全过程设计优化服务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报价人全称</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投标费率</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ascii="宋体" w:hAnsi="宋体"/>
                <w:b/>
                <w:szCs w:val="21"/>
                <w:u w:val="single"/>
              </w:rPr>
            </w:pPr>
            <w:r>
              <w:rPr>
                <w:rFonts w:hint="eastAsia" w:ascii="宋体" w:hAnsi="宋体"/>
                <w:bCs/>
                <w:szCs w:val="21"/>
              </w:rPr>
              <w:t xml:space="preserve">本项目技术咨询费用：  </w:t>
            </w:r>
            <w:r>
              <w:rPr>
                <w:rFonts w:hint="eastAsia" w:ascii="宋体" w:hAnsi="宋体"/>
                <w:b/>
                <w:szCs w:val="21"/>
              </w:rPr>
              <w:t xml:space="preserve"> A＝B ×</w:t>
            </w:r>
            <w:r>
              <w:rPr>
                <w:rFonts w:hint="eastAsia" w:ascii="宋体" w:hAnsi="宋体"/>
                <w:b/>
                <w:szCs w:val="21"/>
                <w:u w:val="single"/>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A—表示技术咨询费用；</w:t>
            </w:r>
          </w:p>
          <w:p>
            <w:pPr>
              <w:adjustRightInd w:val="0"/>
              <w:spacing w:before="100" w:beforeAutospacing="1" w:after="100" w:afterAutospacing="1" w:line="360" w:lineRule="auto"/>
              <w:contextualSpacing/>
              <w:jc w:val="left"/>
              <w:rPr>
                <w:rFonts w:ascii="宋体" w:hAnsi="宋体"/>
                <w:bCs/>
                <w:szCs w:val="21"/>
                <w:u w:val="single"/>
              </w:rPr>
            </w:pPr>
            <w:r>
              <w:rPr>
                <w:rFonts w:hint="eastAsia" w:ascii="宋体" w:hAnsi="宋体"/>
                <w:bCs/>
                <w:szCs w:val="21"/>
              </w:rPr>
              <w:t>B—表示技术咨询节约成本(包括结构技术咨询、地下停车位咨询及建筑、安装等咨询所节约的成本)：</w:t>
            </w:r>
            <w:r>
              <w:rPr>
                <w:rFonts w:hint="eastAsia" w:ascii="宋体" w:hAnsi="宋体"/>
                <w:bCs/>
                <w:szCs w:val="21"/>
                <w:u w:val="single"/>
              </w:rPr>
              <w:t xml:space="preserve"> B = Xi + Yi + Zi+ Wi  </w:t>
            </w:r>
          </w:p>
          <w:p>
            <w:pPr>
              <w:adjustRightInd w:val="0"/>
              <w:spacing w:before="100" w:beforeAutospacing="1" w:after="100" w:afterAutospacing="1" w:line="360" w:lineRule="auto"/>
              <w:contextualSpacing/>
              <w:jc w:val="left"/>
              <w:rPr>
                <w:rFonts w:hint="eastAsia" w:ascii="宋体" w:hAnsi="宋体" w:eastAsia="宋体"/>
                <w:bCs/>
                <w:szCs w:val="21"/>
                <w:lang w:eastAsia="zh-CN"/>
              </w:rPr>
            </w:pPr>
            <w:r>
              <w:rPr>
                <w:rFonts w:hint="eastAsia" w:ascii="宋体" w:hAnsi="宋体"/>
                <w:bCs/>
                <w:szCs w:val="21"/>
              </w:rPr>
              <w:t>钢筋节约成本 Xi = (Mi-Bi)*Si*A1；</w:t>
            </w:r>
            <w:r>
              <w:rPr>
                <w:rFonts w:hint="eastAsia" w:ascii="宋体" w:hAnsi="宋体"/>
                <w:bCs/>
                <w:szCs w:val="21"/>
                <w:lang w:eastAsia="zh-CN"/>
              </w:rPr>
              <w:t>（若</w:t>
            </w:r>
            <w:r>
              <w:rPr>
                <w:rFonts w:hint="eastAsia" w:ascii="宋体" w:hAnsi="宋体"/>
                <w:bCs/>
                <w:szCs w:val="21"/>
              </w:rPr>
              <w:t xml:space="preserve"> Xi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bCs/>
                <w:szCs w:val="21"/>
              </w:rPr>
              <w:t>Xi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Arial"/>
                <w:szCs w:val="21"/>
              </w:rPr>
              <w:t>混凝土节约成本 Yi = (Ni-Ci)*Si*A2；</w:t>
            </w:r>
            <w:r>
              <w:rPr>
                <w:rFonts w:hint="eastAsia" w:ascii="宋体" w:hAnsi="宋体"/>
                <w:bCs/>
                <w:szCs w:val="21"/>
                <w:lang w:eastAsia="zh-CN"/>
              </w:rPr>
              <w:t>（若</w:t>
            </w:r>
            <w:r>
              <w:rPr>
                <w:rFonts w:hint="eastAsia" w:ascii="宋体" w:hAnsi="宋体"/>
                <w:bCs/>
                <w:szCs w:val="21"/>
              </w:rPr>
              <w:t xml:space="preserve"> </w:t>
            </w:r>
            <w:r>
              <w:rPr>
                <w:rFonts w:hint="eastAsia" w:ascii="宋体" w:hAnsi="宋体" w:cs="Arial"/>
                <w:szCs w:val="21"/>
              </w:rPr>
              <w:t>Yi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cs="Arial"/>
                <w:szCs w:val="21"/>
              </w:rPr>
              <w:t>Yi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混凝土节约成本 Yi = (Ni-Ci)*Si*A2；</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地下停车位节约成本 Zi = S*A3；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安装工程节约成本</w:t>
            </w:r>
            <w:r>
              <w:rPr>
                <w:rFonts w:hint="eastAsia" w:ascii="宋体" w:hAnsi="宋体"/>
                <w:bCs/>
                <w:szCs w:val="21"/>
                <w:u w:val="single"/>
              </w:rPr>
              <w:t>Wi=</w:t>
            </w:r>
            <w:r>
              <w:rPr>
                <w:rFonts w:hint="eastAsia" w:ascii="宋体" w:hAnsi="宋体" w:cs="Arial"/>
                <w:sz w:val="24"/>
                <w:szCs w:val="24"/>
              </w:rPr>
              <w:t>Fi*Gi*0.8</w:t>
            </w:r>
          </w:p>
          <w:p>
            <w:pPr>
              <w:adjustRightInd w:val="0"/>
              <w:spacing w:before="100" w:beforeAutospacing="1" w:after="100" w:afterAutospacing="1" w:line="360" w:lineRule="auto"/>
              <w:contextualSpacing/>
              <w:jc w:val="left"/>
              <w:rPr>
                <w:rFonts w:ascii="宋体" w:hAnsi="宋体" w:cs="Arial"/>
                <w:color w:val="000000"/>
                <w:sz w:val="24"/>
              </w:rPr>
            </w:pPr>
            <w:r>
              <w:rPr>
                <w:rFonts w:hint="eastAsia" w:ascii="宋体" w:hAnsi="宋体"/>
                <w:bCs/>
                <w:szCs w:val="21"/>
                <w:u w:val="single"/>
              </w:rPr>
              <w:t>（详见表下说明）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上限额报价</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ascii="宋体" w:hAnsi="宋体"/>
                <w:szCs w:val="21"/>
              </w:rPr>
            </w:pPr>
            <w:r>
              <w:rPr>
                <w:rFonts w:hint="eastAsia" w:ascii="宋体" w:hAnsi="宋体"/>
                <w:bCs/>
                <w:szCs w:val="21"/>
              </w:rPr>
              <w:t>本项目技术咨询费用A，A的上限额为</w:t>
            </w:r>
            <w:r>
              <w:rPr>
                <w:rFonts w:hint="eastAsia" w:ascii="宋体" w:hAnsi="宋体"/>
                <w:bCs/>
                <w:szCs w:val="21"/>
                <w:u w:val="single"/>
              </w:rPr>
              <w:t xml:space="preserve"> 46 </w:t>
            </w:r>
            <w:r>
              <w:rPr>
                <w:rFonts w:hint="eastAsia" w:ascii="宋体" w:hAnsi="宋体"/>
                <w:bCs/>
                <w:szCs w:val="21"/>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trPr>
        <w:tc>
          <w:tcPr>
            <w:tcW w:w="1491"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项目负责人</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ind w:firstLine="210" w:firstLineChars="100"/>
              <w:rPr>
                <w:rFonts w:ascii="宋体" w:hAnsi="宋体"/>
                <w:szCs w:val="21"/>
              </w:rPr>
            </w:pPr>
          </w:p>
          <w:p>
            <w:pPr>
              <w:spacing w:line="420" w:lineRule="exact"/>
              <w:ind w:firstLine="210" w:firstLineChars="10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1491"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备  注</w:t>
            </w:r>
          </w:p>
        </w:tc>
        <w:tc>
          <w:tcPr>
            <w:tcW w:w="7329" w:type="dxa"/>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szCs w:val="21"/>
              </w:rPr>
            </w:pPr>
          </w:p>
          <w:p>
            <w:pPr>
              <w:spacing w:line="420" w:lineRule="exact"/>
              <w:rPr>
                <w:rFonts w:ascii="宋体" w:hAnsi="宋体"/>
                <w:szCs w:val="21"/>
              </w:rPr>
            </w:pPr>
          </w:p>
        </w:tc>
      </w:tr>
    </w:tbl>
    <w:p>
      <w:pPr>
        <w:adjustRightInd w:val="0"/>
        <w:snapToGrid w:val="0"/>
        <w:spacing w:line="360" w:lineRule="auto"/>
        <w:ind w:left="-88" w:leftChars="-42"/>
        <w:rPr>
          <w:rFonts w:ascii="宋体" w:hAnsi="宋体"/>
          <w:szCs w:val="21"/>
        </w:rPr>
      </w:pPr>
    </w:p>
    <w:p>
      <w:pPr>
        <w:spacing w:line="360" w:lineRule="auto"/>
        <w:rPr>
          <w:rFonts w:ascii="宋体" w:hAnsi="宋体"/>
          <w:szCs w:val="21"/>
        </w:rPr>
      </w:pPr>
      <w:r>
        <w:rPr>
          <w:rFonts w:hint="eastAsia" w:ascii="宋体" w:hAnsi="宋体"/>
          <w:szCs w:val="21"/>
        </w:rPr>
        <w:t>说明：</w:t>
      </w:r>
    </w:p>
    <w:p>
      <w:pPr>
        <w:adjustRightInd w:val="0"/>
        <w:spacing w:before="100" w:beforeAutospacing="1" w:after="100" w:afterAutospacing="1" w:line="360" w:lineRule="auto"/>
        <w:ind w:leftChars="-200" w:hanging="420" w:hangingChars="200"/>
        <w:contextualSpacing/>
        <w:jc w:val="left"/>
        <w:rPr>
          <w:rFonts w:ascii="宋体" w:hAnsi="宋体" w:cs="宋体"/>
          <w:color w:val="000000"/>
          <w:szCs w:val="21"/>
        </w:rPr>
      </w:pPr>
      <w:r>
        <w:rPr>
          <w:rFonts w:hint="eastAsia" w:ascii="宋体" w:hAnsi="宋体" w:cs="宋体"/>
          <w:bCs/>
          <w:szCs w:val="21"/>
        </w:rPr>
        <w:t>1、表格中各参数</w:t>
      </w:r>
      <w:r>
        <w:rPr>
          <w:rFonts w:hint="eastAsia" w:ascii="宋体" w:hAnsi="宋体" w:cs="宋体"/>
          <w:color w:val="000000"/>
          <w:szCs w:val="21"/>
        </w:rPr>
        <w:t>数数值经双方协商取定如下：</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A1—表示钢筋部分综合单价（含材料费、人工费、机械费、税金等综合费用），为</w:t>
      </w:r>
      <w:r>
        <w:rPr>
          <w:rFonts w:hint="eastAsia" w:ascii="宋体" w:hAnsi="宋体" w:cs="宋体"/>
          <w:color w:val="000000"/>
          <w:szCs w:val="21"/>
          <w:u w:val="single"/>
        </w:rPr>
        <w:t xml:space="preserve"> 4.8 </w:t>
      </w:r>
      <w:r>
        <w:rPr>
          <w:rFonts w:hint="eastAsia" w:ascii="宋体" w:hAnsi="宋体" w:cs="宋体"/>
          <w:color w:val="000000"/>
          <w:szCs w:val="21"/>
        </w:rPr>
        <w:t>元/kg；</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A2—表示混凝土部分综合单价（含材料费、人工费、机械费、税金等综合费用），为</w:t>
      </w:r>
      <w:r>
        <w:rPr>
          <w:rFonts w:hint="eastAsia" w:ascii="宋体" w:hAnsi="宋体" w:cs="宋体"/>
          <w:color w:val="000000"/>
          <w:szCs w:val="21"/>
          <w:u w:val="single"/>
        </w:rPr>
        <w:t xml:space="preserve"> 600 </w:t>
      </w:r>
      <w:r>
        <w:rPr>
          <w:rFonts w:hint="eastAsia" w:ascii="宋体" w:hAnsi="宋体" w:cs="宋体"/>
          <w:color w:val="000000"/>
          <w:szCs w:val="21"/>
        </w:rPr>
        <w:t>元/m3；</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A3—表示地下室综合单价，为</w:t>
      </w:r>
      <w:r>
        <w:rPr>
          <w:rFonts w:hint="eastAsia" w:ascii="宋体" w:hAnsi="宋体" w:cs="宋体"/>
          <w:color w:val="000000"/>
          <w:szCs w:val="21"/>
          <w:u w:val="single"/>
        </w:rPr>
        <w:t xml:space="preserve"> 2000 </w:t>
      </w:r>
      <w:r>
        <w:rPr>
          <w:rFonts w:hint="eastAsia" w:ascii="宋体" w:hAnsi="宋体" w:cs="宋体"/>
          <w:color w:val="000000"/>
          <w:szCs w:val="21"/>
        </w:rPr>
        <w:t>元/m</w:t>
      </w:r>
      <w:r>
        <w:rPr>
          <w:rFonts w:hint="eastAsia" w:ascii="宋体" w:hAnsi="宋体" w:cs="宋体"/>
          <w:color w:val="000000"/>
          <w:szCs w:val="21"/>
          <w:vertAlign w:val="superscript"/>
        </w:rPr>
        <w:t>2</w:t>
      </w:r>
      <w:r>
        <w:rPr>
          <w:rFonts w:hint="eastAsia" w:ascii="宋体" w:hAnsi="宋体" w:cs="宋体"/>
          <w:color w:val="000000"/>
          <w:szCs w:val="21"/>
        </w:rPr>
        <w:t>；</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Mi—表示本项目各部分结构钢筋含量成本核算指标,以附件6《</w:t>
      </w:r>
      <w:r>
        <w:rPr>
          <w:rFonts w:hint="eastAsia" w:ascii="宋体" w:hAnsi="宋体" w:cs="宋体"/>
          <w:color w:val="000000"/>
          <w:szCs w:val="21"/>
          <w:lang w:val="en-US" w:eastAsia="zh-CN"/>
        </w:rPr>
        <w:t>蜀山202119地块</w:t>
      </w:r>
      <w:r>
        <w:rPr>
          <w:rFonts w:hint="eastAsia" w:ascii="宋体" w:hAnsi="宋体" w:cs="宋体"/>
          <w:color w:val="000000"/>
          <w:szCs w:val="21"/>
        </w:rPr>
        <w:t>结构成本指标一览表》为准（单位：kg/m</w:t>
      </w:r>
      <w:r>
        <w:rPr>
          <w:rFonts w:hint="eastAsia" w:ascii="宋体" w:hAnsi="宋体" w:cs="宋体"/>
          <w:color w:val="000000"/>
          <w:szCs w:val="21"/>
          <w:vertAlign w:val="superscript"/>
        </w:rPr>
        <w:t>2</w:t>
      </w:r>
      <w:r>
        <w:rPr>
          <w:rFonts w:hint="eastAsia" w:ascii="宋体" w:hAnsi="宋体" w:cs="宋体"/>
          <w:color w:val="000000"/>
          <w:szCs w:val="21"/>
        </w:rPr>
        <w:t>）。</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Bi—表示本项目各部分结构实际结构含钢量，不含钢结构、桩基础、游泳池、景观部分、砌体拉筋以及施工措施、损耗部分的钢筋量（单位：kg/m</w:t>
      </w:r>
      <w:r>
        <w:rPr>
          <w:rFonts w:hint="eastAsia" w:ascii="宋体" w:hAnsi="宋体" w:cs="宋体"/>
          <w:color w:val="000000"/>
          <w:szCs w:val="21"/>
          <w:vertAlign w:val="superscript"/>
        </w:rPr>
        <w:t>2</w:t>
      </w:r>
      <w:r>
        <w:rPr>
          <w:rFonts w:hint="eastAsia" w:ascii="宋体" w:hAnsi="宋体" w:cs="宋体"/>
          <w:color w:val="000000"/>
          <w:szCs w:val="21"/>
        </w:rPr>
        <w:t>）。</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Ni—本项目各部分结构混凝土含量成本核算指标,以附件6《</w:t>
      </w:r>
      <w:r>
        <w:rPr>
          <w:rFonts w:hint="eastAsia" w:ascii="宋体" w:hAnsi="宋体" w:cs="宋体"/>
          <w:color w:val="000000"/>
          <w:szCs w:val="21"/>
          <w:lang w:val="en-US" w:eastAsia="zh-CN"/>
        </w:rPr>
        <w:t>蜀山202119地块</w:t>
      </w:r>
      <w:r>
        <w:rPr>
          <w:rFonts w:hint="eastAsia" w:ascii="宋体" w:hAnsi="宋体" w:cs="宋体"/>
          <w:color w:val="000000"/>
          <w:szCs w:val="21"/>
        </w:rPr>
        <w:t>结构成本指标一览表》为准（单位：m3/m2）。</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Ci—表示设计优化控制后本项目各部分结构实际结构混凝土含量，不含桩基础、垫层、游泳池、景观部分、空调板、反沿、挡水等建筑做法部分以及施工措施、损耗部分的混凝土量（单位：m3/m2）。</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S—表示地库停车位未减少停车位数量及满足配套用房使用功能的情况下，通过优化减少的地库面积。</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Fi-表示安装各部分通过优化节约的数量；</w:t>
      </w:r>
    </w:p>
    <w:p>
      <w:pPr>
        <w:spacing w:line="360" w:lineRule="auto"/>
        <w:ind w:leftChars="-200" w:hanging="420" w:hangingChars="200"/>
        <w:rPr>
          <w:rFonts w:ascii="宋体" w:hAnsi="宋体" w:cs="宋体"/>
          <w:color w:val="000000"/>
          <w:szCs w:val="21"/>
        </w:rPr>
      </w:pPr>
      <w:r>
        <w:rPr>
          <w:rFonts w:hint="eastAsia" w:ascii="宋体" w:hAnsi="宋体" w:cs="宋体"/>
          <w:color w:val="000000"/>
          <w:szCs w:val="21"/>
        </w:rPr>
        <w:t>Gi-表示询价人本项目安装各部位对应的施工中标单价。</w:t>
      </w:r>
    </w:p>
    <w:p>
      <w:pPr>
        <w:adjustRightInd w:val="0"/>
        <w:snapToGrid w:val="0"/>
        <w:spacing w:line="360" w:lineRule="auto"/>
        <w:ind w:leftChars="-200" w:hanging="420" w:hangingChars="200"/>
        <w:rPr>
          <w:rFonts w:ascii="宋体" w:hAnsi="宋体" w:cs="宋体"/>
          <w:szCs w:val="21"/>
        </w:rPr>
      </w:pPr>
      <w:r>
        <w:rPr>
          <w:rFonts w:hint="eastAsia" w:ascii="宋体" w:hAnsi="宋体" w:cs="宋体"/>
          <w:bCs/>
          <w:szCs w:val="21"/>
        </w:rPr>
        <w:t>2.本项目采用固定费率。在合同实施期间，除非在合同条款中另有规定，合同总价不随国家政策或法规、标准及市场</w:t>
      </w:r>
      <w:r>
        <w:rPr>
          <w:rFonts w:hint="eastAsia" w:ascii="宋体" w:hAnsi="宋体" w:cs="宋体"/>
          <w:szCs w:val="21"/>
        </w:rPr>
        <w:t>因素的变化而进行调整，也不因实际服务周期的延长或缩短而调整。</w:t>
      </w:r>
    </w:p>
    <w:p>
      <w:pPr>
        <w:adjustRightInd w:val="0"/>
        <w:snapToGrid w:val="0"/>
        <w:spacing w:line="360" w:lineRule="auto"/>
        <w:ind w:leftChars="-200" w:hanging="420" w:hangingChars="200"/>
        <w:rPr>
          <w:rFonts w:ascii="宋体" w:hAnsi="宋体" w:cs="宋体"/>
          <w:szCs w:val="21"/>
        </w:rPr>
      </w:pPr>
      <w:r>
        <w:rPr>
          <w:rFonts w:hint="eastAsia" w:ascii="宋体" w:hAnsi="宋体" w:cs="宋体"/>
          <w:szCs w:val="21"/>
        </w:rPr>
        <w:t>3.其他说明</w:t>
      </w:r>
    </w:p>
    <w:p>
      <w:pPr>
        <w:adjustRightInd w:val="0"/>
        <w:snapToGrid w:val="0"/>
        <w:spacing w:line="360" w:lineRule="auto"/>
        <w:ind w:leftChars="-200" w:hanging="420" w:hangingChars="200"/>
        <w:rPr>
          <w:rFonts w:ascii="宋体" w:hAnsi="宋体" w:cs="宋体"/>
          <w:szCs w:val="21"/>
        </w:rPr>
      </w:pPr>
      <w:r>
        <w:rPr>
          <w:rFonts w:hint="eastAsia" w:ascii="宋体" w:hAnsi="宋体" w:cs="宋体"/>
          <w:szCs w:val="21"/>
        </w:rPr>
        <w:t>(1)投标报价包括报价人为完成询价文件所确定的询价范围内的全部服务工作内容发所发生的一切费用，包括人员及设备费用及相关工作所需的费用、管理费、出版费、食宿费、通讯费、保险、利润、杂费、税费及其它可能发生的费用（如检验费等），以及服务项目的规模、性质、服务期间的市场风险和国家政策性调整风险费用等。</w:t>
      </w:r>
    </w:p>
    <w:p>
      <w:pPr>
        <w:adjustRightInd w:val="0"/>
        <w:snapToGrid w:val="0"/>
        <w:spacing w:line="360" w:lineRule="auto"/>
        <w:ind w:leftChars="-200" w:hanging="420" w:hangingChars="200"/>
        <w:rPr>
          <w:rFonts w:ascii="宋体" w:hAnsi="宋体" w:cs="宋体"/>
          <w:szCs w:val="21"/>
        </w:rPr>
      </w:pPr>
      <w:r>
        <w:rPr>
          <w:rFonts w:hint="eastAsia" w:ascii="宋体" w:hAnsi="宋体" w:cs="宋体"/>
          <w:szCs w:val="21"/>
        </w:rPr>
        <w:t>(2)报价人应当根据询价文件要求和范围，对费率进行报价，整个项目优化节约总额少于1</w:t>
      </w:r>
      <w:r>
        <w:rPr>
          <w:rFonts w:hint="default" w:ascii="宋体" w:hAnsi="宋体" w:cs="宋体"/>
          <w:szCs w:val="21"/>
          <w:lang w:val="en-US"/>
        </w:rPr>
        <w:t>00</w:t>
      </w:r>
      <w:r>
        <w:rPr>
          <w:rFonts w:hint="eastAsia" w:ascii="宋体" w:hAnsi="宋体" w:cs="宋体"/>
          <w:szCs w:val="21"/>
        </w:rPr>
        <w:t>万元时，中标人不收取任何费用。整个项目优化节约总额大于等于1</w:t>
      </w:r>
      <w:r>
        <w:rPr>
          <w:rFonts w:hint="default" w:ascii="宋体" w:hAnsi="宋体" w:cs="宋体"/>
          <w:szCs w:val="21"/>
          <w:lang w:val="en-US"/>
        </w:rPr>
        <w:t>00</w:t>
      </w:r>
      <w:r>
        <w:rPr>
          <w:rFonts w:hint="eastAsia" w:ascii="宋体" w:hAnsi="宋体" w:cs="宋体"/>
          <w:szCs w:val="21"/>
        </w:rPr>
        <w:t>万元，小于</w:t>
      </w:r>
      <w:r>
        <w:rPr>
          <w:rFonts w:hint="default" w:ascii="宋体" w:hAnsi="宋体" w:cs="宋体"/>
          <w:szCs w:val="21"/>
          <w:lang w:val="en-US"/>
        </w:rPr>
        <w:t>350</w:t>
      </w:r>
      <w:r>
        <w:rPr>
          <w:rFonts w:hint="eastAsia" w:ascii="宋体" w:hAnsi="宋体" w:cs="宋体"/>
          <w:szCs w:val="21"/>
        </w:rPr>
        <w:t>万元时，中标人收取的费用为节约总额（不扣除1</w:t>
      </w:r>
      <w:r>
        <w:rPr>
          <w:rFonts w:hint="default" w:ascii="宋体" w:hAnsi="宋体" w:cs="宋体"/>
          <w:szCs w:val="21"/>
          <w:lang w:val="en-US"/>
        </w:rPr>
        <w:t>00</w:t>
      </w:r>
      <w:r>
        <w:rPr>
          <w:rFonts w:hint="eastAsia" w:ascii="宋体" w:hAnsi="宋体" w:cs="宋体"/>
          <w:szCs w:val="21"/>
        </w:rPr>
        <w:t>万元）乘以报价人的投标报价费率计算，优化咨询费总额不超过</w:t>
      </w:r>
      <w:r>
        <w:rPr>
          <w:rFonts w:hint="default" w:ascii="宋体" w:hAnsi="宋体" w:cs="宋体"/>
          <w:szCs w:val="21"/>
          <w:lang w:val="en-US"/>
        </w:rPr>
        <w:t>35</w:t>
      </w:r>
      <w:r>
        <w:rPr>
          <w:rFonts w:hint="eastAsia" w:ascii="宋体" w:hAnsi="宋体" w:cs="宋体"/>
          <w:szCs w:val="21"/>
        </w:rPr>
        <w:t>万元。整个项目优化节约总额大于等于</w:t>
      </w:r>
      <w:r>
        <w:rPr>
          <w:rFonts w:hint="default" w:ascii="宋体" w:hAnsi="宋体" w:cs="宋体"/>
          <w:szCs w:val="21"/>
          <w:lang w:val="en-US"/>
        </w:rPr>
        <w:t>35</w:t>
      </w:r>
      <w:r>
        <w:rPr>
          <w:rFonts w:hint="eastAsia" w:ascii="宋体" w:hAnsi="宋体" w:cs="宋体"/>
          <w:szCs w:val="21"/>
        </w:rPr>
        <w:t>0万元时，中标人收取的费用为节约总额（不扣除1</w:t>
      </w:r>
      <w:r>
        <w:rPr>
          <w:rFonts w:hint="default" w:ascii="宋体" w:hAnsi="宋体" w:cs="宋体"/>
          <w:szCs w:val="21"/>
          <w:lang w:val="en-US"/>
        </w:rPr>
        <w:t>00</w:t>
      </w:r>
      <w:r>
        <w:rPr>
          <w:rFonts w:hint="eastAsia" w:ascii="宋体" w:hAnsi="宋体" w:cs="宋体"/>
          <w:szCs w:val="21"/>
        </w:rPr>
        <w:t>万元）乘以报价人的投标报价费率计算，优化咨询费总额不超过4</w:t>
      </w:r>
      <w:r>
        <w:rPr>
          <w:rFonts w:hint="default" w:ascii="宋体" w:hAnsi="宋体" w:cs="宋体"/>
          <w:szCs w:val="21"/>
          <w:lang w:val="en-US"/>
        </w:rPr>
        <w:t>0</w:t>
      </w:r>
      <w:r>
        <w:rPr>
          <w:rFonts w:hint="eastAsia" w:ascii="宋体" w:hAnsi="宋体" w:cs="宋体"/>
          <w:szCs w:val="21"/>
        </w:rPr>
        <w:t>万元。</w:t>
      </w:r>
    </w:p>
    <w:p>
      <w:pPr>
        <w:adjustRightInd w:val="0"/>
        <w:snapToGrid w:val="0"/>
        <w:spacing w:line="360" w:lineRule="auto"/>
        <w:ind w:leftChars="-200" w:hanging="420" w:hangingChars="200"/>
        <w:rPr>
          <w:rFonts w:ascii="宋体" w:hAnsi="宋体" w:cs="宋体"/>
          <w:szCs w:val="21"/>
        </w:rPr>
      </w:pPr>
      <w:r>
        <w:rPr>
          <w:rFonts w:hint="eastAsia" w:ascii="宋体" w:hAnsi="宋体" w:cs="宋体"/>
          <w:szCs w:val="21"/>
        </w:rPr>
        <w:t>(3)报价以人民币为单位。</w:t>
      </w:r>
    </w:p>
    <w:p>
      <w:pPr>
        <w:adjustRightInd w:val="0"/>
        <w:snapToGrid w:val="0"/>
        <w:spacing w:line="360" w:lineRule="auto"/>
        <w:ind w:left="-88" w:leftChars="-42"/>
        <w:rPr>
          <w:rFonts w:ascii="宋体" w:hAnsi="宋体"/>
          <w:szCs w:val="21"/>
        </w:rPr>
      </w:pPr>
    </w:p>
    <w:p>
      <w:pPr>
        <w:adjustRightInd w:val="0"/>
        <w:snapToGrid w:val="0"/>
        <w:spacing w:line="360" w:lineRule="auto"/>
        <w:ind w:firstLine="3570" w:firstLineChars="1700"/>
        <w:rPr>
          <w:rFonts w:ascii="宋体" w:hAnsi="宋体"/>
          <w:szCs w:val="21"/>
        </w:rPr>
      </w:pPr>
      <w:r>
        <w:rPr>
          <w:rFonts w:hint="eastAsia" w:ascii="宋体" w:hAnsi="宋体"/>
          <w:szCs w:val="21"/>
        </w:rPr>
        <w:t>报价人（盖单位章）：</w:t>
      </w:r>
    </w:p>
    <w:p>
      <w:pPr>
        <w:adjustRightInd w:val="0"/>
        <w:snapToGrid w:val="0"/>
        <w:spacing w:line="360" w:lineRule="auto"/>
        <w:ind w:firstLine="3570" w:firstLineChars="170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p>
    <w:p>
      <w:pPr>
        <w:adjustRightInd w:val="0"/>
        <w:snapToGrid w:val="0"/>
        <w:spacing w:line="360" w:lineRule="auto"/>
        <w:jc w:val="center"/>
        <w:rPr>
          <w:rFonts w:ascii="宋体" w:hAnsi="宋体"/>
          <w:szCs w:val="21"/>
        </w:rPr>
      </w:pPr>
      <w:r>
        <w:rPr>
          <w:rFonts w:hint="eastAsia" w:ascii="宋体" w:hAnsi="宋体"/>
          <w:szCs w:val="21"/>
        </w:rPr>
        <w:t xml:space="preserve">                          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adjustRightInd w:val="0"/>
        <w:snapToGrid w:val="0"/>
        <w:spacing w:line="360" w:lineRule="auto"/>
        <w:jc w:val="center"/>
        <w:rPr>
          <w:rFonts w:ascii="宋体" w:hAnsi="宋体"/>
          <w:szCs w:val="21"/>
        </w:rPr>
      </w:pPr>
    </w:p>
    <w:p>
      <w:pPr>
        <w:pStyle w:val="5"/>
        <w:adjustRightInd w:val="0"/>
        <w:snapToGrid w:val="0"/>
        <w:spacing w:line="480" w:lineRule="exact"/>
        <w:jc w:val="center"/>
        <w:rPr>
          <w:rFonts w:hAnsi="宋体"/>
        </w:rPr>
      </w:pPr>
      <w:r>
        <w:rPr>
          <w:rFonts w:hAnsi="宋体"/>
        </w:rPr>
        <w:br w:type="page"/>
      </w:r>
    </w:p>
    <w:p>
      <w:pPr>
        <w:pStyle w:val="5"/>
        <w:adjustRightInd w:val="0"/>
        <w:snapToGrid w:val="0"/>
        <w:spacing w:line="480" w:lineRule="exact"/>
        <w:jc w:val="center"/>
        <w:rPr>
          <w:rFonts w:hAnsi="宋体"/>
        </w:rPr>
      </w:pPr>
      <w:r>
        <w:rPr>
          <w:rFonts w:hint="eastAsia" w:hAnsi="宋体"/>
        </w:rPr>
        <w:t>附件6：</w:t>
      </w:r>
      <w:r>
        <w:rPr>
          <w:rFonts w:hint="eastAsia" w:ascii="宋体" w:hAnsi="宋体" w:cs="宋体"/>
          <w:color w:val="000000"/>
          <w:sz w:val="24"/>
          <w:szCs w:val="24"/>
          <w:lang w:val="en-US" w:eastAsia="zh-CN"/>
        </w:rPr>
        <w:t>通和沁园春晓项目</w:t>
      </w:r>
      <w:r>
        <w:rPr>
          <w:rFonts w:hint="eastAsia" w:hAnsi="宋体" w:cs="Arial"/>
          <w:color w:val="000000"/>
          <w:sz w:val="24"/>
        </w:rPr>
        <w:t>结构成本指标一览表</w:t>
      </w:r>
    </w:p>
    <w:tbl>
      <w:tblPr>
        <w:tblStyle w:val="11"/>
        <w:tblpPr w:leftFromText="180" w:rightFromText="180" w:vertAnchor="text" w:horzAnchor="page" w:tblpX="1755" w:tblpY="74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22"/>
        <w:gridCol w:w="1337"/>
        <w:gridCol w:w="822"/>
        <w:gridCol w:w="821"/>
        <w:gridCol w:w="936"/>
        <w:gridCol w:w="978"/>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8522" w:type="dxa"/>
            <w:gridSpan w:val="8"/>
            <w:tcBorders>
              <w:tl2br w:val="nil"/>
              <w:tr2bl w:val="nil"/>
            </w:tcBorders>
            <w:vAlign w:val="center"/>
          </w:tcPr>
          <w:p>
            <w:pPr>
              <w:widowControl/>
              <w:jc w:val="center"/>
              <w:rPr>
                <w:rFonts w:ascii="宋体" w:hAnsi="宋体" w:cs="宋体"/>
                <w:color w:val="000000"/>
                <w:kern w:val="0"/>
                <w:sz w:val="32"/>
                <w:szCs w:val="32"/>
                <w:u w:val="single"/>
              </w:rPr>
            </w:pPr>
            <w:r>
              <w:rPr>
                <w:rFonts w:hint="eastAsia" w:ascii="宋体" w:hAnsi="宋体" w:cs="宋体"/>
                <w:color w:val="000000"/>
                <w:kern w:val="0"/>
                <w:sz w:val="32"/>
                <w:szCs w:val="32"/>
                <w:u w:val="single"/>
                <w:lang w:val="en-US" w:eastAsia="zh-CN"/>
              </w:rPr>
              <w:t>通和沁园春晓项目</w:t>
            </w:r>
            <w:r>
              <w:rPr>
                <w:rFonts w:hint="eastAsia" w:ascii="宋体" w:hAnsi="宋体" w:cs="宋体"/>
                <w:color w:val="000000"/>
                <w:kern w:val="0"/>
                <w:sz w:val="32"/>
                <w:szCs w:val="32"/>
                <w:u w:val="single"/>
              </w:rPr>
              <w:t>结构成本指标一览表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881"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类型</w:t>
            </w:r>
          </w:p>
        </w:tc>
        <w:tc>
          <w:tcPr>
            <w:tcW w:w="722"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层数</w:t>
            </w:r>
          </w:p>
        </w:tc>
        <w:tc>
          <w:tcPr>
            <w:tcW w:w="1337" w:type="dxa"/>
            <w:vMerge w:val="restart"/>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各部分</w:t>
            </w:r>
          </w:p>
        </w:tc>
        <w:tc>
          <w:tcPr>
            <w:tcW w:w="1643"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钢筋含量成本指标(kg/m2)</w:t>
            </w:r>
          </w:p>
          <w:p>
            <w:pPr>
              <w:widowControl/>
              <w:jc w:val="center"/>
              <w:rPr>
                <w:rFonts w:ascii="宋体" w:hAnsi="宋体" w:cs="宋体"/>
                <w:b/>
                <w:bCs/>
                <w:color w:val="000000"/>
                <w:kern w:val="0"/>
                <w:sz w:val="20"/>
                <w:szCs w:val="20"/>
              </w:rPr>
            </w:pPr>
          </w:p>
        </w:tc>
        <w:tc>
          <w:tcPr>
            <w:tcW w:w="1914"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混凝土含量成本指标 (m3/m2)</w:t>
            </w:r>
          </w:p>
          <w:p>
            <w:pPr>
              <w:widowControl/>
              <w:jc w:val="center"/>
              <w:rPr>
                <w:rFonts w:ascii="宋体" w:hAnsi="宋体" w:cs="宋体"/>
                <w:b/>
                <w:bCs/>
                <w:color w:val="000000"/>
                <w:kern w:val="0"/>
                <w:sz w:val="20"/>
                <w:szCs w:val="20"/>
              </w:rPr>
            </w:pPr>
          </w:p>
        </w:tc>
        <w:tc>
          <w:tcPr>
            <w:tcW w:w="2025"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trPr>
        <w:tc>
          <w:tcPr>
            <w:tcW w:w="881" w:type="dxa"/>
            <w:vMerge w:val="continue"/>
            <w:tcBorders>
              <w:tl2br w:val="nil"/>
              <w:tr2bl w:val="nil"/>
            </w:tcBorders>
            <w:vAlign w:val="center"/>
          </w:tcPr>
          <w:p>
            <w:pPr>
              <w:widowControl/>
              <w:jc w:val="center"/>
              <w:rPr>
                <w:color w:val="000000"/>
                <w:kern w:val="0"/>
                <w:szCs w:val="21"/>
              </w:rPr>
            </w:pPr>
          </w:p>
        </w:tc>
        <w:tc>
          <w:tcPr>
            <w:tcW w:w="722" w:type="dxa"/>
            <w:vMerge w:val="continue"/>
            <w:tcBorders>
              <w:tl2br w:val="nil"/>
              <w:tr2bl w:val="nil"/>
            </w:tcBorders>
            <w:vAlign w:val="center"/>
          </w:tcPr>
          <w:p>
            <w:pPr>
              <w:widowControl/>
              <w:jc w:val="center"/>
              <w:rPr>
                <w:color w:val="000000"/>
                <w:kern w:val="0"/>
                <w:sz w:val="20"/>
                <w:szCs w:val="20"/>
              </w:rPr>
            </w:pPr>
          </w:p>
        </w:tc>
        <w:tc>
          <w:tcPr>
            <w:tcW w:w="1337" w:type="dxa"/>
            <w:vMerge w:val="continue"/>
            <w:tcBorders>
              <w:tl2br w:val="nil"/>
              <w:tr2bl w:val="nil"/>
            </w:tcBorders>
            <w:vAlign w:val="center"/>
          </w:tcPr>
          <w:p>
            <w:pPr>
              <w:widowControl/>
              <w:jc w:val="center"/>
              <w:rPr>
                <w:rFonts w:ascii="宋体" w:hAnsi="宋体"/>
                <w:color w:val="000000"/>
                <w:kern w:val="0"/>
                <w:sz w:val="20"/>
                <w:szCs w:val="20"/>
              </w:rPr>
            </w:pPr>
          </w:p>
        </w:tc>
        <w:tc>
          <w:tcPr>
            <w:tcW w:w="822"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821"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936"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2025" w:type="dxa"/>
            <w:vMerge w:val="continue"/>
            <w:tcBorders>
              <w:tl2br w:val="nil"/>
              <w:tr2bl w:val="nil"/>
            </w:tcBorders>
            <w:vAlign w:val="center"/>
          </w:tcPr>
          <w:p>
            <w:pPr>
              <w:widowControl/>
              <w:jc w:val="center"/>
              <w:rPr>
                <w:rFonts w:ascii="宋体" w:hAnsi="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1" w:hRule="atLeast"/>
        </w:trPr>
        <w:tc>
          <w:tcPr>
            <w:tcW w:w="881" w:type="dxa"/>
            <w:tcBorders>
              <w:tl2br w:val="nil"/>
              <w:tr2bl w:val="nil"/>
            </w:tcBorders>
            <w:vAlign w:val="center"/>
          </w:tcPr>
          <w:p>
            <w:pPr>
              <w:widowControl/>
              <w:jc w:val="center"/>
              <w:rPr>
                <w:rFonts w:hint="eastAsia" w:eastAsia="宋体"/>
                <w:color w:val="000000"/>
                <w:kern w:val="0"/>
                <w:szCs w:val="21"/>
                <w:lang w:val="en-US" w:eastAsia="zh-CN"/>
              </w:rPr>
            </w:pPr>
            <w:r>
              <w:rPr>
                <w:rFonts w:hint="eastAsia"/>
                <w:color w:val="000000"/>
                <w:kern w:val="0"/>
                <w:szCs w:val="21"/>
                <w:lang w:val="en-US" w:eastAsia="zh-CN"/>
              </w:rPr>
              <w:t>-</w:t>
            </w:r>
          </w:p>
        </w:tc>
        <w:tc>
          <w:tcPr>
            <w:tcW w:w="722" w:type="dxa"/>
            <w:tcBorders>
              <w:tl2br w:val="nil"/>
              <w:tr2bl w:val="nil"/>
            </w:tcBorders>
            <w:vAlign w:val="center"/>
          </w:tcPr>
          <w:p>
            <w:pPr>
              <w:widowControl/>
              <w:jc w:val="center"/>
              <w:rPr>
                <w:rFonts w:hint="eastAsia" w:eastAsia="宋体"/>
                <w:color w:val="000000"/>
                <w:kern w:val="0"/>
                <w:sz w:val="20"/>
                <w:szCs w:val="20"/>
                <w:lang w:val="en-US" w:eastAsia="zh-CN"/>
              </w:rPr>
            </w:pPr>
            <w:r>
              <w:rPr>
                <w:rFonts w:hint="eastAsia"/>
                <w:color w:val="000000"/>
                <w:kern w:val="0"/>
                <w:sz w:val="20"/>
                <w:szCs w:val="20"/>
                <w:lang w:val="en-US" w:eastAsia="zh-CN"/>
              </w:rPr>
              <w:t>-</w:t>
            </w:r>
          </w:p>
        </w:tc>
        <w:tc>
          <w:tcPr>
            <w:tcW w:w="1337" w:type="dxa"/>
            <w:tcBorders>
              <w:tl2br w:val="nil"/>
              <w:tr2bl w:val="nil"/>
            </w:tcBorders>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w:t>
            </w:r>
          </w:p>
        </w:tc>
        <w:tc>
          <w:tcPr>
            <w:tcW w:w="821" w:type="dxa"/>
            <w:tcBorders>
              <w:tl2br w:val="nil"/>
              <w:tr2bl w:val="nil"/>
            </w:tcBorders>
            <w:vAlign w:val="center"/>
          </w:tcPr>
          <w:p>
            <w:pPr>
              <w:widowControl/>
              <w:jc w:val="center"/>
              <w:rPr>
                <w:rFonts w:hint="eastAsia" w:ascii="宋体" w:hAnsi="宋体" w:eastAsia="宋体" w:cs="宋体"/>
                <w:color w:val="FF0000"/>
                <w:kern w:val="0"/>
                <w:szCs w:val="21"/>
                <w:lang w:val="en-US" w:eastAsia="zh-CN"/>
              </w:rPr>
            </w:pPr>
            <w:r>
              <w:rPr>
                <w:rFonts w:hint="eastAsia" w:ascii="宋体" w:hAnsi="宋体" w:cs="宋体"/>
                <w:color w:val="FF0000"/>
                <w:kern w:val="0"/>
                <w:szCs w:val="21"/>
                <w:lang w:val="en-US" w:eastAsia="zh-CN"/>
              </w:rPr>
              <w:t>-</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w:t>
            </w:r>
          </w:p>
        </w:tc>
        <w:tc>
          <w:tcPr>
            <w:tcW w:w="978" w:type="dxa"/>
            <w:tcBorders>
              <w:tl2br w:val="nil"/>
              <w:tr2bl w:val="nil"/>
            </w:tcBorders>
            <w:vAlign w:val="center"/>
          </w:tcPr>
          <w:p>
            <w:pPr>
              <w:widowControl/>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w:t>
            </w:r>
          </w:p>
        </w:tc>
        <w:tc>
          <w:tcPr>
            <w:tcW w:w="2025" w:type="dxa"/>
            <w:vMerge w:val="restart"/>
            <w:tcBorders>
              <w:tl2br w:val="nil"/>
              <w:tr2bl w:val="nil"/>
            </w:tcBorders>
            <w:vAlign w:val="center"/>
          </w:tcPr>
          <w:p>
            <w:pPr>
              <w:widowControl/>
              <w:rPr>
                <w:rFonts w:ascii="宋体" w:hAnsi="宋体" w:eastAsia="宋体" w:cs="宋体"/>
                <w:bCs/>
                <w:sz w:val="20"/>
                <w:szCs w:val="20"/>
              </w:rPr>
            </w:pPr>
            <w:r>
              <w:rPr>
                <w:rFonts w:hint="eastAsia" w:ascii="宋体" w:hAnsi="宋体" w:eastAsia="宋体" w:cs="宋体"/>
                <w:bCs/>
                <w:sz w:val="20"/>
                <w:szCs w:val="20"/>
              </w:rPr>
              <w:t>1、计算面积采用结构面积；</w:t>
            </w:r>
          </w:p>
          <w:p>
            <w:pPr>
              <w:widowControl/>
              <w:rPr>
                <w:rFonts w:ascii="宋体" w:hAnsi="宋体" w:eastAsia="宋体" w:cs="宋体"/>
                <w:bCs/>
                <w:sz w:val="20"/>
                <w:szCs w:val="20"/>
              </w:rPr>
            </w:pPr>
            <w:r>
              <w:rPr>
                <w:rFonts w:hint="eastAsia" w:ascii="宋体" w:hAnsi="宋体" w:eastAsia="宋体" w:cs="宋体"/>
                <w:bCs/>
                <w:sz w:val="20"/>
                <w:szCs w:val="20"/>
              </w:rPr>
              <w:t>2、实际钢筋及混凝土量不含二次结构、钢结构、桩基础、措施钢筋、建筑做法钢筋</w:t>
            </w:r>
            <w:r>
              <w:rPr>
                <w:rFonts w:hint="eastAsia" w:ascii="宋体" w:hAnsi="宋体" w:cs="宋体"/>
                <w:bCs/>
                <w:sz w:val="20"/>
                <w:szCs w:val="20"/>
              </w:rPr>
              <w:t>混凝土</w:t>
            </w:r>
            <w:r>
              <w:rPr>
                <w:rFonts w:hint="eastAsia" w:ascii="宋体" w:hAnsi="宋体" w:eastAsia="宋体" w:cs="宋体"/>
                <w:bCs/>
                <w:sz w:val="20"/>
                <w:szCs w:val="20"/>
              </w:rPr>
              <w:t>、垫层等；</w:t>
            </w:r>
          </w:p>
          <w:p>
            <w:pPr>
              <w:widowControl/>
              <w:rPr>
                <w:rFonts w:ascii="宋体" w:hAnsi="宋体" w:eastAsia="宋体" w:cs="宋体"/>
                <w:kern w:val="0"/>
                <w:sz w:val="20"/>
                <w:szCs w:val="20"/>
              </w:rPr>
            </w:pPr>
            <w:r>
              <w:rPr>
                <w:rFonts w:hint="eastAsia" w:ascii="宋体" w:hAnsi="宋体" w:eastAsia="宋体" w:cs="宋体"/>
                <w:bCs/>
                <w:sz w:val="20"/>
                <w:szCs w:val="20"/>
              </w:rPr>
              <w:t>3、</w:t>
            </w:r>
            <w:r>
              <w:rPr>
                <w:rFonts w:hint="eastAsia" w:ascii="宋体" w:hAnsi="宋体" w:eastAsia="宋体" w:cs="宋体"/>
                <w:kern w:val="0"/>
                <w:sz w:val="20"/>
                <w:szCs w:val="20"/>
              </w:rPr>
              <w:t>人防部分指标为6级人防指标，若人防指标为5级，则人防指标增加30kg/m2；</w:t>
            </w:r>
          </w:p>
          <w:p>
            <w:pPr>
              <w:widowControl/>
              <w:jc w:val="left"/>
              <w:rPr>
                <w:color w:val="000000"/>
                <w:kern w:val="0"/>
                <w:sz w:val="20"/>
                <w:szCs w:val="20"/>
              </w:rPr>
            </w:pPr>
            <w:r>
              <w:rPr>
                <w:rFonts w:hint="eastAsia" w:ascii="宋体" w:hAnsi="宋体" w:eastAsia="宋体" w:cs="宋体"/>
                <w:kern w:val="0"/>
                <w:sz w:val="20"/>
                <w:szCs w:val="20"/>
              </w:rPr>
              <w:t>4、住宅部分的钢筋含量按照层高2.9米为基准，层高每增加0.1m</w:t>
            </w:r>
            <w:r>
              <w:rPr>
                <w:rFonts w:hint="eastAsia" w:ascii="宋体" w:hAnsi="宋体" w:eastAsia="宋体" w:cs="宋体"/>
                <w:color w:val="000000"/>
                <w:kern w:val="0"/>
                <w:sz w:val="20"/>
                <w:szCs w:val="20"/>
              </w:rPr>
              <w:t>，含钢量限额可增加1kg/m2。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普通住宅高层</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8-18层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42</w:t>
            </w:r>
          </w:p>
          <w:p>
            <w:pPr>
              <w:widowControl/>
              <w:jc w:val="center"/>
              <w:rPr>
                <w:rFonts w:hint="default" w:ascii="宋体" w:hAnsi="宋体" w:eastAsia="宋体" w:cs="宋体"/>
                <w:kern w:val="0"/>
                <w:szCs w:val="21"/>
                <w:lang w:val="en-US" w:eastAsia="zh-CN"/>
              </w:rPr>
            </w:pPr>
          </w:p>
        </w:tc>
        <w:tc>
          <w:tcPr>
            <w:tcW w:w="821"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40</w:t>
            </w:r>
          </w:p>
          <w:p>
            <w:pPr>
              <w:widowControl/>
              <w:jc w:val="center"/>
              <w:rPr>
                <w:rFonts w:hint="eastAsia" w:ascii="宋体" w:hAnsi="宋体" w:cs="宋体"/>
                <w:kern w:val="0"/>
                <w:szCs w:val="21"/>
              </w:rPr>
            </w:pPr>
          </w:p>
        </w:tc>
        <w:tc>
          <w:tcPr>
            <w:tcW w:w="936" w:type="dxa"/>
            <w:tcBorders>
              <w:tl2br w:val="nil"/>
              <w:tr2bl w:val="nil"/>
            </w:tcBorders>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0.34</w:t>
            </w:r>
          </w:p>
          <w:p>
            <w:pPr>
              <w:widowControl/>
              <w:jc w:val="center"/>
              <w:rPr>
                <w:rFonts w:hint="default" w:ascii="宋体" w:hAnsi="宋体" w:eastAsia="宋体" w:cs="宋体"/>
                <w:color w:val="auto"/>
                <w:kern w:val="0"/>
                <w:szCs w:val="21"/>
                <w:lang w:val="en-US" w:eastAsia="zh-CN"/>
              </w:rPr>
            </w:pPr>
          </w:p>
        </w:tc>
        <w:tc>
          <w:tcPr>
            <w:tcW w:w="978"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0.325</w:t>
            </w:r>
          </w:p>
          <w:p>
            <w:pPr>
              <w:widowControl/>
              <w:jc w:val="center"/>
              <w:rPr>
                <w:rFonts w:hint="eastAsia" w:ascii="宋体" w:hAnsi="宋体" w:cs="宋体"/>
                <w:kern w:val="0"/>
                <w:szCs w:val="21"/>
              </w:rPr>
            </w:pP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603" w:type="dxa"/>
            <w:gridSpan w:val="2"/>
            <w:vMerge w:val="restart"/>
            <w:tcBorders>
              <w:tl2br w:val="nil"/>
              <w:tr2bl w:val="nil"/>
            </w:tcBorders>
            <w:vAlign w:val="center"/>
          </w:tcPr>
          <w:p>
            <w:pPr>
              <w:widowControl/>
              <w:jc w:val="center"/>
              <w:rPr>
                <w:color w:val="000000"/>
                <w:kern w:val="0"/>
                <w:sz w:val="20"/>
                <w:szCs w:val="20"/>
              </w:rPr>
            </w:pPr>
            <w:r>
              <w:rPr>
                <w:rFonts w:hint="eastAsia"/>
                <w:color w:val="000000"/>
                <w:kern w:val="0"/>
                <w:szCs w:val="21"/>
              </w:rPr>
              <w:t>地下室</w:t>
            </w: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住宅塔楼地下室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195</w:t>
            </w:r>
          </w:p>
        </w:tc>
        <w:tc>
          <w:tcPr>
            <w:tcW w:w="821"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185</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2</w:t>
            </w:r>
            <w:r>
              <w:rPr>
                <w:rFonts w:hint="eastAsia" w:ascii="宋体" w:hAnsi="宋体" w:cs="宋体"/>
                <w:kern w:val="0"/>
                <w:szCs w:val="21"/>
                <w:lang w:val="en-US" w:eastAsia="zh-CN"/>
              </w:rPr>
              <w:t>.0</w:t>
            </w:r>
          </w:p>
          <w:p>
            <w:pPr>
              <w:widowControl/>
              <w:jc w:val="center"/>
              <w:rPr>
                <w:rFonts w:hint="default" w:ascii="宋体" w:hAnsi="宋体" w:eastAsia="宋体" w:cs="宋体"/>
                <w:kern w:val="0"/>
                <w:szCs w:val="21"/>
                <w:lang w:val="en-US" w:eastAsia="zh-CN"/>
              </w:rPr>
            </w:pPr>
          </w:p>
        </w:tc>
        <w:tc>
          <w:tcPr>
            <w:tcW w:w="978"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1.9</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eastAsia="宋体" w:cs="宋体"/>
                <w:color w:val="000000"/>
                <w:kern w:val="0"/>
                <w:sz w:val="20"/>
                <w:szCs w:val="20"/>
              </w:rPr>
              <w:t>非人防地下室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w:t>
            </w:r>
            <w:r>
              <w:rPr>
                <w:rFonts w:hint="eastAsia" w:ascii="宋体" w:hAnsi="宋体" w:cs="宋体"/>
                <w:kern w:val="0"/>
                <w:szCs w:val="21"/>
                <w:lang w:val="en-US" w:eastAsia="zh-CN"/>
              </w:rPr>
              <w:t>00</w:t>
            </w:r>
          </w:p>
        </w:tc>
        <w:tc>
          <w:tcPr>
            <w:tcW w:w="821"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95</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1.1</w:t>
            </w:r>
          </w:p>
        </w:tc>
        <w:tc>
          <w:tcPr>
            <w:tcW w:w="978"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1.085</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人防地下室</w:t>
            </w:r>
          </w:p>
        </w:tc>
        <w:tc>
          <w:tcPr>
            <w:tcW w:w="822" w:type="dxa"/>
            <w:tcBorders>
              <w:tl2br w:val="nil"/>
              <w:tr2bl w:val="nil"/>
            </w:tcBorders>
            <w:vAlign w:val="center"/>
          </w:tcPr>
          <w:p>
            <w:pPr>
              <w:widowControl/>
              <w:jc w:val="center"/>
              <w:rPr>
                <w:rFonts w:hint="eastAsia" w:ascii="宋体" w:hAnsi="宋体" w:eastAsia="宋体" w:cs="宋体"/>
                <w:color w:val="FF0000"/>
                <w:kern w:val="0"/>
                <w:szCs w:val="21"/>
                <w:lang w:val="en-US" w:eastAsia="zh-CN"/>
              </w:rPr>
            </w:pPr>
            <w:r>
              <w:rPr>
                <w:rFonts w:hint="eastAsia" w:ascii="宋体" w:hAnsi="宋体" w:eastAsia="宋体" w:cs="宋体"/>
                <w:kern w:val="0"/>
                <w:szCs w:val="21"/>
              </w:rPr>
              <w:t>145</w:t>
            </w:r>
          </w:p>
        </w:tc>
        <w:tc>
          <w:tcPr>
            <w:tcW w:w="821"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140</w:t>
            </w:r>
          </w:p>
        </w:tc>
        <w:tc>
          <w:tcPr>
            <w:tcW w:w="936"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1.2</w:t>
            </w:r>
          </w:p>
        </w:tc>
        <w:tc>
          <w:tcPr>
            <w:tcW w:w="978"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1.185</w:t>
            </w:r>
          </w:p>
        </w:tc>
        <w:tc>
          <w:tcPr>
            <w:tcW w:w="2025" w:type="dxa"/>
            <w:tcBorders>
              <w:tl2br w:val="nil"/>
              <w:tr2bl w:val="nil"/>
            </w:tcBorders>
            <w:vAlign w:val="center"/>
          </w:tcPr>
          <w:p>
            <w:pPr>
              <w:widowControl/>
              <w:jc w:val="center"/>
              <w:rPr>
                <w:color w:val="000000"/>
                <w:kern w:val="0"/>
                <w:sz w:val="20"/>
                <w:szCs w:val="20"/>
              </w:rPr>
            </w:pPr>
          </w:p>
        </w:tc>
      </w:tr>
    </w:tbl>
    <w:p>
      <w:pPr>
        <w:adjustRightInd w:val="0"/>
        <w:snapToGrid w:val="0"/>
        <w:spacing w:line="360" w:lineRule="auto"/>
        <w:outlineLvl w:val="0"/>
        <w:rPr>
          <w:rFonts w:ascii="宋体" w:hAnsi="宋体"/>
          <w:sz w:val="44"/>
          <w:szCs w:val="44"/>
        </w:rPr>
      </w:pPr>
    </w:p>
    <w:p>
      <w:pPr>
        <w:adjustRightInd w:val="0"/>
        <w:snapToGrid w:val="0"/>
        <w:spacing w:line="360" w:lineRule="auto"/>
        <w:jc w:val="center"/>
        <w:outlineLvl w:val="0"/>
        <w:rPr>
          <w:rFonts w:ascii="宋体" w:hAnsi="宋体"/>
          <w:sz w:val="44"/>
          <w:szCs w:val="4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rPr>
          <w:rFonts w:hint="eastAsia" w:ascii="宋体" w:hAnsi="宋体"/>
          <w:sz w:val="44"/>
          <w:szCs w:val="44"/>
        </w:rPr>
      </w:pPr>
      <w:r>
        <w:rPr>
          <w:rFonts w:hint="eastAsia" w:ascii="宋体" w:hAnsi="宋体"/>
          <w:sz w:val="44"/>
          <w:szCs w:val="44"/>
        </w:rPr>
        <w:br w:type="page"/>
      </w:r>
    </w:p>
    <w:p>
      <w:pPr>
        <w:adjustRightInd w:val="0"/>
        <w:snapToGrid w:val="0"/>
        <w:spacing w:line="360" w:lineRule="auto"/>
        <w:jc w:val="center"/>
        <w:outlineLvl w:val="0"/>
        <w:rPr>
          <w:rFonts w:ascii="宋体" w:hAnsi="宋体"/>
          <w:sz w:val="44"/>
          <w:szCs w:val="44"/>
        </w:rPr>
      </w:pPr>
      <w:r>
        <w:rPr>
          <w:rFonts w:hint="eastAsia" w:ascii="宋体" w:hAnsi="宋体"/>
          <w:sz w:val="44"/>
          <w:szCs w:val="44"/>
        </w:rPr>
        <w:t>五、报价人认为需提供的其他资料</w:t>
      </w: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rPr>
          <w:rFonts w:hint="eastAsia" w:hAnsi="宋体"/>
          <w:b/>
          <w:sz w:val="34"/>
          <w:szCs w:val="24"/>
          <w:lang w:eastAsia="zh-CN"/>
        </w:rPr>
      </w:pPr>
      <w:r>
        <w:rPr>
          <w:rFonts w:hint="eastAsia" w:hAnsi="宋体"/>
          <w:b/>
          <w:sz w:val="34"/>
          <w:szCs w:val="24"/>
          <w:lang w:eastAsia="zh-CN"/>
        </w:rPr>
        <w:br w:type="page"/>
      </w:r>
    </w:p>
    <w:p>
      <w:pPr>
        <w:pStyle w:val="5"/>
        <w:adjustRightInd w:val="0"/>
        <w:snapToGrid w:val="0"/>
        <w:spacing w:line="480" w:lineRule="exact"/>
        <w:jc w:val="left"/>
        <w:rPr>
          <w:rFonts w:hint="eastAsia" w:hAnsi="宋体" w:eastAsia="宋体"/>
          <w:b/>
          <w:sz w:val="34"/>
          <w:szCs w:val="24"/>
          <w:lang w:eastAsia="zh-CN"/>
        </w:rPr>
      </w:pPr>
      <w:r>
        <w:rPr>
          <w:rFonts w:hint="eastAsia" w:hAnsi="宋体"/>
          <w:b/>
          <w:sz w:val="34"/>
          <w:szCs w:val="24"/>
          <w:lang w:eastAsia="zh-CN"/>
        </w:rPr>
        <w:t>附件二：</w:t>
      </w:r>
    </w:p>
    <w:p>
      <w:pPr>
        <w:spacing w:line="360" w:lineRule="auto"/>
        <w:jc w:val="center"/>
        <w:rPr>
          <w:b/>
          <w:color w:val="000000"/>
          <w:sz w:val="52"/>
          <w:szCs w:val="52"/>
        </w:rPr>
      </w:pPr>
    </w:p>
    <w:p>
      <w:pPr>
        <w:spacing w:line="360" w:lineRule="auto"/>
        <w:jc w:val="center"/>
        <w:rPr>
          <w:rFonts w:hint="eastAsia"/>
          <w:b/>
          <w:color w:val="000000"/>
          <w:sz w:val="52"/>
          <w:szCs w:val="52"/>
          <w:lang w:val="en-US" w:eastAsia="zh-CN"/>
        </w:rPr>
      </w:pPr>
      <w:r>
        <w:rPr>
          <w:rFonts w:hint="eastAsia"/>
          <w:b/>
          <w:color w:val="000000"/>
          <w:sz w:val="52"/>
          <w:szCs w:val="52"/>
          <w:lang w:val="en-US" w:eastAsia="zh-CN"/>
        </w:rPr>
        <w:t>通和沁园春晓项目</w:t>
      </w:r>
    </w:p>
    <w:p>
      <w:pPr>
        <w:spacing w:line="360" w:lineRule="auto"/>
        <w:jc w:val="center"/>
        <w:rPr>
          <w:rFonts w:hint="default"/>
          <w:b/>
          <w:color w:val="000000"/>
          <w:sz w:val="52"/>
          <w:szCs w:val="52"/>
          <w:lang w:val="en-US" w:eastAsia="zh-CN"/>
        </w:rPr>
      </w:pPr>
      <w:r>
        <w:rPr>
          <w:rFonts w:hint="eastAsia"/>
          <w:b/>
          <w:color w:val="000000"/>
          <w:sz w:val="52"/>
          <w:szCs w:val="52"/>
          <w:lang w:val="en-US" w:eastAsia="zh-CN"/>
        </w:rPr>
        <w:t>全过程设计优化服务</w:t>
      </w:r>
    </w:p>
    <w:p>
      <w:pPr>
        <w:spacing w:line="360" w:lineRule="auto"/>
        <w:jc w:val="center"/>
        <w:rPr>
          <w:rFonts w:ascii="宋体"/>
          <w:b/>
          <w:color w:val="000000"/>
          <w:sz w:val="32"/>
        </w:rPr>
      </w:pPr>
    </w:p>
    <w:p>
      <w:pPr>
        <w:spacing w:line="360" w:lineRule="auto"/>
        <w:jc w:val="center"/>
        <w:rPr>
          <w:rFonts w:ascii="宋体"/>
          <w:b/>
          <w:color w:val="000000"/>
          <w:sz w:val="32"/>
        </w:rPr>
      </w:pPr>
    </w:p>
    <w:p>
      <w:pPr>
        <w:spacing w:line="360" w:lineRule="auto"/>
        <w:jc w:val="center"/>
        <w:rPr>
          <w:rFonts w:asci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2530" w:firstLineChars="1050"/>
        <w:rPr>
          <w:rFonts w:ascii="楷体_GB2312" w:hAnsi="宋体"/>
          <w:b/>
          <w:color w:val="000000"/>
          <w:sz w:val="24"/>
        </w:rPr>
      </w:pPr>
    </w:p>
    <w:p>
      <w:pPr>
        <w:spacing w:line="360" w:lineRule="auto"/>
        <w:ind w:firstLine="321" w:firstLineChars="100"/>
        <w:rPr>
          <w:rFonts w:ascii="楷体_GB2312"/>
          <w:b/>
          <w:color w:val="000000"/>
          <w:sz w:val="32"/>
          <w:szCs w:val="32"/>
          <w:u w:val="single"/>
        </w:rPr>
      </w:pPr>
      <w:r>
        <w:rPr>
          <w:rFonts w:hint="eastAsia" w:ascii="楷体_GB2312" w:hAnsi="宋体"/>
          <w:b/>
          <w:color w:val="000000"/>
          <w:sz w:val="32"/>
          <w:szCs w:val="32"/>
          <w:lang w:eastAsia="zh-CN"/>
        </w:rPr>
        <w:t>建设单位</w:t>
      </w:r>
      <w:r>
        <w:rPr>
          <w:rFonts w:ascii="楷体_GB2312" w:hAnsi="宋体"/>
          <w:b/>
          <w:color w:val="000000"/>
          <w:sz w:val="32"/>
          <w:szCs w:val="32"/>
        </w:rPr>
        <w:t>：</w:t>
      </w:r>
      <w:bookmarkStart w:id="0" w:name="工程名称1"/>
      <w:bookmarkEnd w:id="0"/>
      <w:r>
        <w:rPr>
          <w:rFonts w:ascii="楷体_GB2312" w:hAnsi="宋体"/>
          <w:b/>
          <w:color w:val="000000"/>
          <w:sz w:val="32"/>
          <w:szCs w:val="32"/>
        </w:rPr>
        <w:t xml:space="preserve"> </w:t>
      </w:r>
      <w:r>
        <w:rPr>
          <w:rFonts w:ascii="楷体_GB2312" w:hAnsi="宋体"/>
          <w:b/>
          <w:color w:val="000000"/>
          <w:sz w:val="32"/>
          <w:szCs w:val="32"/>
          <w:u w:val="single"/>
        </w:rPr>
        <w:t xml:space="preserve"> </w:t>
      </w:r>
      <w:r>
        <w:rPr>
          <w:rFonts w:hint="eastAsia" w:ascii="楷体_GB2312" w:hAnsi="宋体"/>
          <w:b/>
          <w:color w:val="000000"/>
          <w:sz w:val="32"/>
          <w:szCs w:val="32"/>
          <w:u w:val="single"/>
          <w:lang w:eastAsia="zh-CN"/>
        </w:rPr>
        <w:t>凤台通泽置业有限公司</w:t>
      </w:r>
      <w:r>
        <w:rPr>
          <w:rFonts w:ascii="楷体_GB2312"/>
          <w:b/>
          <w:color w:val="000000"/>
          <w:sz w:val="32"/>
          <w:szCs w:val="32"/>
          <w:u w:val="single"/>
        </w:rPr>
        <w:t xml:space="preserve"> </w:t>
      </w:r>
    </w:p>
    <w:p>
      <w:pPr>
        <w:spacing w:line="360" w:lineRule="auto"/>
        <w:ind w:firstLine="321" w:firstLineChars="100"/>
        <w:rPr>
          <w:rFonts w:hint="eastAsia" w:ascii="楷体_GB2312" w:eastAsia="宋体"/>
          <w:b/>
          <w:color w:val="000000"/>
          <w:sz w:val="32"/>
          <w:szCs w:val="32"/>
          <w:u w:val="single"/>
          <w:lang w:eastAsia="zh-CN"/>
        </w:rPr>
      </w:pPr>
      <w:r>
        <w:rPr>
          <w:rFonts w:hint="eastAsia" w:ascii="楷体_GB2312"/>
          <w:b/>
          <w:color w:val="000000"/>
          <w:sz w:val="32"/>
          <w:szCs w:val="32"/>
          <w:u w:val="none"/>
          <w:lang w:eastAsia="zh-CN"/>
        </w:rPr>
        <w:t>咨询单位：</w:t>
      </w:r>
      <w:r>
        <w:rPr>
          <w:rFonts w:ascii="楷体_GB2312" w:hAnsi="宋体"/>
          <w:b/>
          <w:color w:val="000000"/>
          <w:sz w:val="32"/>
          <w:szCs w:val="32"/>
        </w:rPr>
        <w:t xml:space="preserve"> </w:t>
      </w:r>
      <w:r>
        <w:rPr>
          <w:rFonts w:ascii="楷体_GB2312" w:hAnsi="宋体"/>
          <w:b/>
          <w:color w:val="000000"/>
          <w:sz w:val="32"/>
          <w:szCs w:val="32"/>
          <w:u w:val="single"/>
        </w:rPr>
        <w:t xml:space="preserve"> </w:t>
      </w:r>
      <w:r>
        <w:rPr>
          <w:rFonts w:hint="eastAsia" w:ascii="宋体" w:hAnsi="宋体" w:cs="宋体"/>
          <w:b/>
          <w:iCs/>
          <w:color w:val="000000"/>
          <w:kern w:val="0"/>
          <w:sz w:val="32"/>
          <w:szCs w:val="32"/>
          <w:u w:val="single"/>
          <w:lang w:val="en-US" w:eastAsia="zh-CN"/>
        </w:rPr>
        <w:t xml:space="preserve">                                </w:t>
      </w:r>
      <w:r>
        <w:rPr>
          <w:rFonts w:ascii="楷体_GB2312"/>
          <w:b/>
          <w:color w:val="000000"/>
          <w:sz w:val="32"/>
          <w:szCs w:val="32"/>
          <w:u w:val="single"/>
        </w:rPr>
        <w:t xml:space="preserve"> </w:t>
      </w:r>
    </w:p>
    <w:p>
      <w:pPr>
        <w:spacing w:line="360" w:lineRule="auto"/>
        <w:ind w:firstLine="320" w:firstLineChars="100"/>
        <w:rPr>
          <w:rFonts w:eastAsia="Times New Roman"/>
          <w:b/>
          <w:color w:val="000000"/>
          <w:sz w:val="32"/>
          <w:szCs w:val="32"/>
        </w:rPr>
      </w:pPr>
    </w:p>
    <w:p>
      <w:pPr>
        <w:spacing w:line="480" w:lineRule="atLeast"/>
        <w:jc w:val="center"/>
        <w:rPr>
          <w:rFonts w:ascii="宋体"/>
          <w:color w:val="000000"/>
          <w:sz w:val="24"/>
          <w:u w:val="single"/>
        </w:rPr>
      </w:pPr>
      <w:bookmarkStart w:id="1" w:name="工程地点1"/>
      <w:bookmarkEnd w:id="1"/>
    </w:p>
    <w:p>
      <w:pPr>
        <w:spacing w:line="480" w:lineRule="atLeast"/>
        <w:jc w:val="center"/>
        <w:rPr>
          <w:rFonts w:ascii="黑体" w:eastAsia="黑体"/>
          <w:color w:val="000000"/>
          <w:sz w:val="24"/>
        </w:rPr>
      </w:pPr>
    </w:p>
    <w:p>
      <w:pPr>
        <w:spacing w:line="480" w:lineRule="atLeast"/>
        <w:jc w:val="center"/>
        <w:rPr>
          <w:rFonts w:ascii="黑体" w:eastAsia="黑体"/>
          <w:color w:val="000000"/>
          <w:sz w:val="36"/>
        </w:rPr>
      </w:pPr>
    </w:p>
    <w:p>
      <w:pPr>
        <w:ind w:left="-199" w:leftChars="-95"/>
        <w:jc w:val="center"/>
        <w:rPr>
          <w:rFonts w:ascii="华文细黑" w:hAnsi="华文细黑"/>
          <w:b/>
          <w:sz w:val="32"/>
          <w:szCs w:val="32"/>
        </w:rPr>
      </w:pPr>
      <w:r>
        <w:rPr>
          <w:rFonts w:ascii="楷体_GB2312" w:eastAsia="楷体_GB2312"/>
          <w:b/>
          <w:color w:val="000000"/>
          <w:sz w:val="36"/>
        </w:rPr>
        <w:br w:type="page"/>
      </w:r>
      <w:r>
        <w:rPr>
          <w:rFonts w:hint="eastAsia" w:ascii="宋体" w:hAnsi="宋体"/>
          <w:b/>
          <w:sz w:val="32"/>
          <w:szCs w:val="32"/>
          <w:u w:val="single"/>
        </w:rPr>
        <w:t xml:space="preserve"> </w:t>
      </w:r>
      <w:r>
        <w:rPr>
          <w:rFonts w:hint="eastAsia" w:ascii="宋体" w:hAnsi="宋体"/>
          <w:b/>
          <w:sz w:val="32"/>
          <w:szCs w:val="32"/>
          <w:u w:val="single"/>
          <w:lang w:val="en-US" w:eastAsia="zh-CN"/>
        </w:rPr>
        <w:t>通和沁园春晓项目</w:t>
      </w:r>
      <w:r>
        <w:rPr>
          <w:rFonts w:hint="eastAsia" w:ascii="宋体" w:hAnsi="宋体"/>
          <w:b/>
          <w:sz w:val="32"/>
          <w:szCs w:val="32"/>
          <w:u w:val="single"/>
        </w:rPr>
        <w:t>全过程设计优化服务</w:t>
      </w:r>
    </w:p>
    <w:p>
      <w:pPr>
        <w:snapToGrid w:val="0"/>
        <w:spacing w:line="360" w:lineRule="auto"/>
        <w:rPr>
          <w:rFonts w:ascii="华文细黑" w:hAnsi="华文细黑"/>
          <w:szCs w:val="21"/>
        </w:rPr>
      </w:pPr>
    </w:p>
    <w:p>
      <w:pPr>
        <w:snapToGrid w:val="0"/>
        <w:spacing w:line="360" w:lineRule="auto"/>
        <w:rPr>
          <w:rFonts w:ascii="宋体" w:hAnsi="宋体" w:eastAsia="宋体" w:cs="宋体"/>
          <w:szCs w:val="21"/>
          <w:u w:val="single"/>
        </w:rPr>
      </w:pPr>
      <w:r>
        <w:rPr>
          <w:rFonts w:hint="eastAsia" w:ascii="宋体" w:hAnsi="宋体" w:eastAsia="宋体" w:cs="宋体"/>
          <w:szCs w:val="21"/>
        </w:rPr>
        <w:t>甲    方：</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凤台通泽置业有限公司</w:t>
      </w:r>
      <w:r>
        <w:rPr>
          <w:rFonts w:hint="eastAsia" w:ascii="宋体" w:hAnsi="宋体" w:eastAsia="宋体" w:cs="宋体"/>
          <w:szCs w:val="21"/>
          <w:u w:val="single"/>
        </w:rPr>
        <w:t xml:space="preserve">  </w:t>
      </w:r>
    </w:p>
    <w:p>
      <w:pPr>
        <w:snapToGrid w:val="0"/>
        <w:spacing w:line="360" w:lineRule="auto"/>
        <w:rPr>
          <w:rFonts w:ascii="华文细黑" w:hAnsi="华文细黑" w:eastAsia="宋体"/>
          <w:szCs w:val="21"/>
          <w:u w:val="single"/>
        </w:rPr>
      </w:pPr>
      <w:r>
        <w:rPr>
          <w:rFonts w:hint="eastAsia" w:ascii="宋体" w:hAnsi="宋体" w:eastAsia="宋体" w:cs="宋体"/>
          <w:szCs w:val="21"/>
        </w:rPr>
        <w:t>乙    方：</w:t>
      </w:r>
      <w:r>
        <w:rPr>
          <w:rFonts w:hint="eastAsia" w:ascii="宋体" w:hAnsi="宋体" w:eastAsia="宋体" w:cs="宋体"/>
          <w:szCs w:val="21"/>
          <w:u w:val="single"/>
        </w:rPr>
        <w:t xml:space="preserve"> </w:t>
      </w:r>
      <w:r>
        <w:rPr>
          <w:rFonts w:hint="eastAsia" w:ascii="宋体" w:hAnsi="宋体" w:eastAsia="宋体" w:cs="宋体"/>
          <w:sz w:val="24"/>
          <w:szCs w:val="24"/>
          <w:u w:val="single"/>
        </w:rPr>
        <w:t xml:space="preserve">                              </w:t>
      </w:r>
    </w:p>
    <w:p>
      <w:pPr>
        <w:snapToGrid w:val="0"/>
        <w:spacing w:line="360" w:lineRule="auto"/>
        <w:rPr>
          <w:rFonts w:ascii="华文细黑" w:hAnsi="华文细黑" w:eastAsia="宋体"/>
          <w:szCs w:val="21"/>
        </w:rPr>
      </w:pPr>
      <w:r>
        <w:rPr>
          <w:rFonts w:hint="eastAsia" w:ascii="宋体" w:hAnsi="宋体" w:eastAsia="宋体" w:cs="宋体"/>
          <w:szCs w:val="21"/>
        </w:rPr>
        <w:t xml:space="preserve">    </w:t>
      </w:r>
      <w:r>
        <w:rPr>
          <w:rFonts w:hint="eastAsia" w:ascii="华文细黑" w:hAnsi="华文细黑"/>
          <w:szCs w:val="21"/>
        </w:rPr>
        <w:t>甲乙双方本着平等互利，相互协助的原则，经过友好协商，达成如下</w:t>
      </w:r>
      <w:r>
        <w:rPr>
          <w:rFonts w:hint="eastAsia" w:ascii="华文细黑" w:hAnsi="华文细黑"/>
          <w:szCs w:val="21"/>
          <w:u w:val="single"/>
          <w:lang w:val="en-US" w:eastAsia="zh-CN"/>
        </w:rPr>
        <w:t>“通和沁园春晓”</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”全过程设计优化服务合同。</w:t>
      </w:r>
    </w:p>
    <w:p>
      <w:pPr>
        <w:spacing w:before="156" w:beforeLines="50"/>
        <w:rPr>
          <w:rFonts w:ascii="宋体" w:hAnsi="宋体" w:cs="宋体"/>
          <w:szCs w:val="21"/>
        </w:rPr>
      </w:pPr>
      <w:r>
        <w:rPr>
          <w:rFonts w:hint="eastAsia" w:ascii="华文细黑" w:hAnsi="华文细黑"/>
          <w:b/>
          <w:szCs w:val="21"/>
        </w:rPr>
        <w:t>第一章 技术咨询范围及内容简述</w:t>
      </w:r>
    </w:p>
    <w:p>
      <w:pPr>
        <w:spacing w:before="156" w:beforeLines="50"/>
        <w:rPr>
          <w:rFonts w:ascii="宋体" w:hAnsi="宋体" w:cs="宋体"/>
          <w:szCs w:val="21"/>
        </w:rPr>
      </w:pPr>
      <w:r>
        <w:rPr>
          <w:rFonts w:hint="eastAsia" w:ascii="宋体" w:hAnsi="宋体" w:cs="宋体"/>
          <w:szCs w:val="21"/>
        </w:rPr>
        <w:t xml:space="preserve">    甲方委托乙方进行</w:t>
      </w:r>
      <w:r>
        <w:rPr>
          <w:rFonts w:hint="eastAsia" w:ascii="华文细黑" w:hAnsi="华文细黑"/>
          <w:szCs w:val="21"/>
          <w:u w:val="single"/>
          <w:lang w:val="en-US" w:eastAsia="zh-CN"/>
        </w:rPr>
        <w:t>“通和沁园春晓”</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”全过程设计优化服务</w:t>
      </w:r>
      <w:r>
        <w:rPr>
          <w:rFonts w:hint="eastAsia" w:ascii="宋体" w:hAnsi="宋体" w:cs="宋体"/>
          <w:szCs w:val="21"/>
        </w:rPr>
        <w:t>咨询，乙方为甲方提供</w:t>
      </w:r>
      <w:r>
        <w:rPr>
          <w:rFonts w:hint="eastAsia" w:ascii="华文细黑" w:hAnsi="华文细黑"/>
          <w:szCs w:val="21"/>
          <w:u w:val="single"/>
          <w:lang w:val="en-US" w:eastAsia="zh-CN"/>
        </w:rPr>
        <w:t>“通和沁园春晓”</w:t>
      </w:r>
      <w:r>
        <w:rPr>
          <w:rFonts w:hint="eastAsia" w:ascii="华文细黑" w:hAnsi="华文细黑"/>
          <w:szCs w:val="21"/>
          <w:u w:val="single"/>
        </w:rPr>
        <w:t>项</w:t>
      </w:r>
      <w:r>
        <w:rPr>
          <w:rFonts w:hint="eastAsia" w:ascii="宋体" w:hAnsi="宋体"/>
          <w:szCs w:val="21"/>
        </w:rPr>
        <w:t>目</w:t>
      </w:r>
      <w:r>
        <w:rPr>
          <w:rFonts w:hint="eastAsia" w:ascii="华文细黑" w:hAnsi="华文细黑"/>
          <w:szCs w:val="21"/>
        </w:rPr>
        <w:t>”全过程设计优化</w:t>
      </w:r>
      <w:r>
        <w:rPr>
          <w:rFonts w:hint="eastAsia" w:ascii="宋体" w:hAnsi="宋体" w:cs="宋体"/>
          <w:szCs w:val="21"/>
        </w:rPr>
        <w:t>服务：</w:t>
      </w:r>
    </w:p>
    <w:p>
      <w:pPr>
        <w:spacing w:before="156" w:beforeLines="50" w:after="156" w:afterLines="50"/>
        <w:rPr>
          <w:rFonts w:ascii="宋体" w:hAnsi="宋体" w:eastAsia="宋体" w:cs="宋体"/>
          <w:szCs w:val="21"/>
        </w:rPr>
      </w:pPr>
      <w:r>
        <w:rPr>
          <w:rFonts w:hint="eastAsia" w:ascii="宋体" w:hAnsi="宋体" w:cs="宋体"/>
          <w:b/>
          <w:bCs/>
          <w:szCs w:val="21"/>
        </w:rPr>
        <w:t>1、结构专业过程技术咨询</w:t>
      </w:r>
    </w:p>
    <w:p>
      <w:pPr>
        <w:snapToGrid w:val="0"/>
        <w:jc w:val="left"/>
        <w:rPr>
          <w:rFonts w:ascii="宋体" w:hAnsi="宋体" w:cs="宋体"/>
          <w:b/>
          <w:bCs/>
          <w:szCs w:val="21"/>
        </w:rPr>
      </w:pPr>
      <w:r>
        <w:rPr>
          <w:rFonts w:hint="eastAsia" w:ascii="宋体" w:hAnsi="宋体" w:cs="宋体"/>
          <w:b/>
          <w:bCs/>
          <w:szCs w:val="21"/>
        </w:rPr>
        <w:t>1.1方案阶段的服务内容简述</w:t>
      </w:r>
    </w:p>
    <w:p>
      <w:pPr>
        <w:snapToGrid w:val="0"/>
        <w:spacing w:line="420" w:lineRule="exact"/>
        <w:rPr>
          <w:rFonts w:ascii="宋体" w:hAnsi="宋体" w:cs="宋体"/>
          <w:szCs w:val="21"/>
        </w:rPr>
      </w:pPr>
      <w:r>
        <w:rPr>
          <w:rFonts w:hint="eastAsia" w:ascii="宋体" w:hAnsi="宋体" w:cs="宋体"/>
          <w:szCs w:val="21"/>
        </w:rPr>
        <w:t>a对建筑方案进行结构可行性评价及结构成本评估；</w:t>
      </w:r>
    </w:p>
    <w:p>
      <w:pPr>
        <w:spacing w:line="420" w:lineRule="exact"/>
        <w:rPr>
          <w:rFonts w:ascii="宋体" w:hAnsi="宋体" w:cs="宋体"/>
          <w:szCs w:val="21"/>
        </w:rPr>
      </w:pPr>
      <w:r>
        <w:rPr>
          <w:rFonts w:hint="eastAsia" w:ascii="宋体" w:hAnsi="宋体" w:cs="宋体"/>
          <w:szCs w:val="21"/>
        </w:rPr>
        <w:t>b结构方案技术经济分析；</w:t>
      </w:r>
    </w:p>
    <w:p>
      <w:pPr>
        <w:spacing w:line="420" w:lineRule="exact"/>
        <w:rPr>
          <w:rFonts w:ascii="宋体" w:hAnsi="宋体" w:cs="宋体"/>
          <w:szCs w:val="21"/>
        </w:rPr>
      </w:pPr>
      <w:r>
        <w:rPr>
          <w:rFonts w:hint="eastAsia" w:ascii="宋体" w:hAnsi="宋体" w:cs="宋体"/>
          <w:szCs w:val="21"/>
        </w:rPr>
        <w:t>c向甲方提供《结构设计咨询技术统一措施以及配筋原则》，以供设计院参考使用。</w:t>
      </w:r>
    </w:p>
    <w:p>
      <w:pPr>
        <w:snapToGrid w:val="0"/>
        <w:spacing w:line="420" w:lineRule="exact"/>
        <w:rPr>
          <w:rFonts w:ascii="宋体" w:hAnsi="宋体"/>
          <w:szCs w:val="21"/>
        </w:rPr>
      </w:pPr>
      <w:r>
        <w:rPr>
          <w:rFonts w:hint="eastAsia" w:ascii="宋体" w:hAnsi="宋体"/>
          <w:b/>
          <w:bCs/>
          <w:szCs w:val="21"/>
        </w:rPr>
        <w:t>1.2初步设计阶段的服务内容简述</w:t>
      </w:r>
    </w:p>
    <w:p>
      <w:pPr>
        <w:snapToGrid w:val="0"/>
        <w:spacing w:line="420" w:lineRule="exact"/>
        <w:rPr>
          <w:rFonts w:ascii="宋体" w:hAnsi="宋体"/>
          <w:szCs w:val="21"/>
        </w:rPr>
      </w:pPr>
      <w:r>
        <w:rPr>
          <w:rFonts w:hint="eastAsia" w:ascii="宋体" w:hAnsi="宋体"/>
          <w:szCs w:val="21"/>
        </w:rPr>
        <w:t>a跟进设计单位结构专业的结构扩初设计进度；</w:t>
      </w:r>
    </w:p>
    <w:p>
      <w:pPr>
        <w:snapToGrid w:val="0"/>
        <w:spacing w:line="420" w:lineRule="exact"/>
        <w:rPr>
          <w:rFonts w:ascii="宋体" w:hAnsi="宋体"/>
          <w:szCs w:val="21"/>
        </w:rPr>
      </w:pPr>
      <w:r>
        <w:rPr>
          <w:rFonts w:hint="eastAsia" w:ascii="宋体" w:hAnsi="宋体"/>
          <w:szCs w:val="21"/>
        </w:rPr>
        <w:t>b基础选型方案进行技术经济分析；</w:t>
      </w:r>
    </w:p>
    <w:p>
      <w:pPr>
        <w:snapToGrid w:val="0"/>
        <w:spacing w:line="420" w:lineRule="exact"/>
        <w:rPr>
          <w:rFonts w:ascii="宋体" w:hAnsi="宋体"/>
          <w:szCs w:val="21"/>
        </w:rPr>
      </w:pPr>
      <w:r>
        <w:rPr>
          <w:rFonts w:hint="eastAsia" w:ascii="宋体" w:hAnsi="宋体"/>
          <w:szCs w:val="21"/>
        </w:rPr>
        <w:t>c审查设计单位提供的结构计算条件、计算结果以及过程设计图纸，并提出合理化建议与设计单位沟通落实；</w:t>
      </w:r>
    </w:p>
    <w:p>
      <w:pPr>
        <w:snapToGrid w:val="0"/>
        <w:spacing w:line="420" w:lineRule="exact"/>
        <w:jc w:val="left"/>
        <w:rPr>
          <w:rFonts w:hAnsi="宋体"/>
          <w:szCs w:val="21"/>
        </w:rPr>
      </w:pPr>
      <w:r>
        <w:rPr>
          <w:rFonts w:hint="eastAsia" w:ascii="宋体" w:hAnsi="宋体" w:cs="宋体"/>
          <w:b/>
          <w:szCs w:val="21"/>
        </w:rPr>
        <w:t>1.3</w:t>
      </w:r>
      <w:r>
        <w:rPr>
          <w:rFonts w:hint="eastAsia" w:ascii="华文细黑" w:hAnsi="华文细黑"/>
          <w:b/>
          <w:szCs w:val="21"/>
        </w:rPr>
        <w:t>施工图阶段的服务内容简述</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a施工图结构计算过程中，复核设计单位提供的计算过程文件是否满足建筑条件和达到结构计算开始时约定的结构计算要求，并提出施工图结构计算优化意见与设计单位沟通落实；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b在桩基础施工图设计时，反复检查复核设计单位提供的桩基础过程文件是否满足结构计算和基础选型报告要求，并提出桩基础技术咨询意见与设计单位沟通落实；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bCs/>
          <w:szCs w:val="21"/>
        </w:rPr>
      </w:pPr>
      <w:r>
        <w:rPr>
          <w:rFonts w:hint="eastAsia" w:ascii="宋体" w:hAnsi="宋体"/>
          <w:bCs/>
          <w:szCs w:val="21"/>
        </w:rPr>
        <w:t>c在结构施工图配筋设计过程中，检查设计单位提供的梁、板、墙、柱、节点、楼梯施工图过程文件是否按事先约定的配筋原则和构造要求实施，提出结构配筋技术咨询意见并与设计单位沟通落实；</w:t>
      </w:r>
    </w:p>
    <w:p>
      <w:pPr>
        <w:keepNext w:val="0"/>
        <w:keepLines w:val="0"/>
        <w:pageBreakBefore w:val="0"/>
        <w:widowControl w:val="0"/>
        <w:kinsoku/>
        <w:wordWrap/>
        <w:overflowPunct/>
        <w:topLinePunct w:val="0"/>
        <w:autoSpaceDE/>
        <w:autoSpaceDN/>
        <w:bidi w:val="0"/>
        <w:adjustRightInd w:val="0"/>
        <w:snapToGrid/>
        <w:spacing w:before="100" w:beforeAutospacing="1" w:after="100" w:afterAutospacing="1" w:line="420" w:lineRule="exact"/>
        <w:contextualSpacing/>
        <w:jc w:val="left"/>
        <w:textAlignment w:val="auto"/>
        <w:rPr>
          <w:rFonts w:ascii="宋体" w:hAnsi="宋体" w:cs="宋体"/>
          <w:kern w:val="0"/>
          <w:szCs w:val="21"/>
        </w:rPr>
      </w:pPr>
      <w:r>
        <w:rPr>
          <w:rFonts w:hint="eastAsia" w:ascii="宋体" w:hAnsi="宋体" w:cs="宋体"/>
          <w:kern w:val="0"/>
          <w:szCs w:val="21"/>
        </w:rPr>
        <w:t>d与设计单位同步对施工图进行校审，并核对技术咨询意见是否已落实到施工图中。</w:t>
      </w:r>
    </w:p>
    <w:p>
      <w:pPr>
        <w:numPr>
          <w:ilvl w:val="0"/>
          <w:numId w:val="3"/>
        </w:numPr>
        <w:snapToGrid w:val="0"/>
        <w:spacing w:line="360" w:lineRule="auto"/>
        <w:rPr>
          <w:rFonts w:ascii="宋体" w:hAnsi="宋体" w:cs="宋体"/>
          <w:b/>
          <w:bCs/>
          <w:szCs w:val="21"/>
        </w:rPr>
      </w:pPr>
      <w:r>
        <w:rPr>
          <w:rFonts w:hint="eastAsia" w:ascii="宋体" w:hAnsi="宋体" w:cs="宋体"/>
          <w:b/>
          <w:bCs/>
          <w:szCs w:val="21"/>
        </w:rPr>
        <w:t>地下室停车位技术咨询</w:t>
      </w:r>
    </w:p>
    <w:p>
      <w:pPr>
        <w:snapToGrid w:val="0"/>
        <w:spacing w:line="360" w:lineRule="auto"/>
        <w:rPr>
          <w:rFonts w:ascii="宋体" w:hAnsi="宋体" w:cs="宋体"/>
          <w:szCs w:val="21"/>
        </w:rPr>
      </w:pPr>
      <w:r>
        <w:rPr>
          <w:rFonts w:hint="eastAsia" w:ascii="宋体" w:hAnsi="宋体" w:cs="宋体"/>
          <w:szCs w:val="21"/>
        </w:rPr>
        <w:t>对地下车库平面布置、柱网尺寸、车道宽度、出入口、坡道等统一梳理给出合理化建议，</w:t>
      </w:r>
      <w:r>
        <w:rPr>
          <w:rFonts w:hint="eastAsia" w:ascii="宋体" w:hAnsi="宋体" w:cs="宋体"/>
          <w:szCs w:val="21"/>
          <w:lang w:eastAsia="zh-CN"/>
        </w:rPr>
        <w:t>在满足停车位数量及配套用房使用功能的前提下，</w:t>
      </w:r>
      <w:r>
        <w:rPr>
          <w:rFonts w:hint="eastAsia" w:ascii="宋体" w:hAnsi="宋体" w:cs="宋体"/>
          <w:szCs w:val="21"/>
        </w:rPr>
        <w:t>减少无效面积，从而达到停车位效率的优化。</w:t>
      </w:r>
    </w:p>
    <w:p>
      <w:pPr>
        <w:numPr>
          <w:ilvl w:val="0"/>
          <w:numId w:val="4"/>
        </w:numPr>
        <w:snapToGrid w:val="0"/>
        <w:spacing w:line="360" w:lineRule="auto"/>
        <w:rPr>
          <w:rFonts w:ascii="宋体" w:hAnsi="宋体" w:cs="宋体"/>
          <w:b/>
          <w:bCs/>
          <w:szCs w:val="21"/>
        </w:rPr>
      </w:pPr>
      <w:r>
        <w:rPr>
          <w:rFonts w:hint="eastAsia" w:ascii="宋体" w:hAnsi="宋体" w:cs="宋体"/>
          <w:b/>
          <w:bCs/>
          <w:szCs w:val="21"/>
        </w:rPr>
        <w:t>建筑专业过程技术咨询</w:t>
      </w:r>
    </w:p>
    <w:p>
      <w:pPr>
        <w:snapToGrid w:val="0"/>
        <w:spacing w:line="360" w:lineRule="auto"/>
        <w:rPr>
          <w:rFonts w:ascii="宋体" w:hAnsi="宋体" w:cs="宋体"/>
          <w:b/>
          <w:bCs/>
          <w:szCs w:val="21"/>
        </w:rPr>
      </w:pPr>
      <w:r>
        <w:rPr>
          <w:rFonts w:hint="eastAsia" w:ascii="宋体" w:hAnsi="宋体" w:cs="宋体"/>
          <w:b/>
          <w:bCs/>
          <w:szCs w:val="21"/>
        </w:rPr>
        <w:t>3.1 方案及初步设计阶段服务内容简述</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a单体建筑设计合理化建议，包括建筑立面设计建议，住宅房型合理化建议，办公平面合理化建议；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b人防设置与否及人防面积的建议；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c地下室层高和埋深建议；</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3.2 施工图阶段服务内容简述</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错漏碰缺检查，质量通病检查，施工便易性检查，防开裂、防沉降、防渗漏建议。</w:t>
      </w:r>
    </w:p>
    <w:p>
      <w:pPr>
        <w:numPr>
          <w:ilvl w:val="0"/>
          <w:numId w:val="4"/>
        </w:numPr>
        <w:snapToGrid w:val="0"/>
        <w:spacing w:line="360" w:lineRule="auto"/>
        <w:rPr>
          <w:rFonts w:ascii="宋体" w:hAnsi="宋体" w:cs="宋体"/>
          <w:b/>
          <w:bCs/>
          <w:szCs w:val="21"/>
        </w:rPr>
      </w:pPr>
      <w:r>
        <w:rPr>
          <w:rFonts w:hint="eastAsia" w:ascii="宋体" w:hAnsi="宋体" w:cs="宋体"/>
          <w:b/>
          <w:bCs/>
          <w:szCs w:val="21"/>
        </w:rPr>
        <w:t>设备专业优化</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4.1给排水专业施工图结果优化。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4.2电气专业施工图结果优化。</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4.3暖通专业施工图结果优化。</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第二章 技术咨询工期要求</w:t>
      </w:r>
    </w:p>
    <w:p>
      <w:pPr>
        <w:adjustRightInd w:val="0"/>
        <w:spacing w:before="100" w:beforeAutospacing="1" w:after="100" w:afterAutospacing="1" w:line="360" w:lineRule="auto"/>
        <w:contextualSpacing/>
        <w:jc w:val="left"/>
        <w:rPr>
          <w:rFonts w:ascii="宋体" w:hAnsi="宋体" w:eastAsia="宋体"/>
          <w:bCs/>
          <w:szCs w:val="21"/>
        </w:rPr>
      </w:pPr>
      <w:r>
        <w:rPr>
          <w:rFonts w:hint="eastAsia" w:ascii="宋体" w:hAnsi="宋体"/>
          <w:bCs/>
          <w:szCs w:val="21"/>
        </w:rPr>
        <w:t>2.1结构过程技术咨询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2.1.1乙方的</w:t>
      </w:r>
      <w:r>
        <w:rPr>
          <w:rFonts w:hint="eastAsia" w:ascii="宋体" w:hAnsi="宋体"/>
          <w:bCs/>
          <w:szCs w:val="21"/>
          <w:lang w:eastAsia="zh-CN"/>
        </w:rPr>
        <w:t>结构</w:t>
      </w:r>
      <w:r>
        <w:rPr>
          <w:rFonts w:hint="eastAsia" w:ascii="宋体" w:hAnsi="宋体"/>
          <w:bCs/>
          <w:szCs w:val="21"/>
        </w:rPr>
        <w:t>过程技术咨询应与设计单位的设计进度同步进行；且技术咨询工作应在规划（单体）报建及施工图审查前完成，技术咨询后的施工图必须满足审图要求与规划要求。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2.1.2乙方的过程技术咨询应及时、高效，并且不得影响项目结构施工图的最终出图时间。</w:t>
      </w:r>
    </w:p>
    <w:p>
      <w:pPr>
        <w:adjustRightInd w:val="0"/>
        <w:spacing w:before="100" w:beforeAutospacing="1" w:after="100" w:afterAutospacing="1" w:line="360" w:lineRule="auto"/>
        <w:contextualSpacing/>
        <w:jc w:val="left"/>
        <w:rPr>
          <w:rFonts w:ascii="宋体" w:hAnsi="宋体" w:eastAsia="宋体"/>
          <w:bCs/>
          <w:szCs w:val="21"/>
        </w:rPr>
      </w:pPr>
      <w:r>
        <w:rPr>
          <w:rFonts w:hint="eastAsia" w:ascii="宋体" w:hAnsi="宋体"/>
          <w:bCs/>
          <w:szCs w:val="21"/>
        </w:rPr>
        <w:t>2.2地下室停车位技术咨询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2.2.1本合同签订或乙方接到甲方通知后，乙方应在收到甲方提供的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“通和沁园春晓项目”</w:t>
      </w:r>
      <w:r>
        <w:rPr>
          <w:rFonts w:hint="eastAsia" w:ascii="华文细黑" w:hAnsi="华文细黑"/>
          <w:szCs w:val="21"/>
          <w:u w:val="single"/>
        </w:rPr>
        <w:t xml:space="preserve"> </w:t>
      </w:r>
      <w:r>
        <w:rPr>
          <w:rFonts w:hint="eastAsia" w:ascii="宋体" w:hAnsi="宋体"/>
          <w:bCs/>
          <w:szCs w:val="21"/>
        </w:rPr>
        <w:t>项目优化前地下室车库方案资料之日起</w:t>
      </w:r>
      <w:r>
        <w:rPr>
          <w:rFonts w:hint="eastAsia" w:ascii="宋体" w:hAnsi="宋体"/>
          <w:bCs/>
          <w:szCs w:val="21"/>
          <w:u w:val="single"/>
        </w:rPr>
        <w:t xml:space="preserve"> 5日 </w:t>
      </w:r>
      <w:r>
        <w:rPr>
          <w:rFonts w:hint="eastAsia" w:ascii="宋体" w:hAnsi="宋体"/>
          <w:bCs/>
          <w:szCs w:val="21"/>
        </w:rPr>
        <w:t>内向甲方提出本项目技术咨询意见，供甲方确认；</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2.2.2技术咨询意见经甲方确认后，乙方应监督设计单位按甲方确认的技术咨询意见在</w:t>
      </w:r>
      <w:r>
        <w:rPr>
          <w:rFonts w:hint="eastAsia" w:ascii="宋体" w:hAnsi="宋体"/>
          <w:bCs/>
          <w:szCs w:val="21"/>
          <w:u w:val="single"/>
        </w:rPr>
        <w:t xml:space="preserve"> 5日 </w:t>
      </w:r>
      <w:r>
        <w:rPr>
          <w:rFonts w:hint="eastAsia" w:ascii="宋体" w:hAnsi="宋体"/>
          <w:bCs/>
          <w:szCs w:val="21"/>
        </w:rPr>
        <w:t>内负责完成</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项目地下室车库方案的修改工作，甲方应提供相应支持和配合。</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2.3建筑</w:t>
      </w:r>
      <w:r>
        <w:rPr>
          <w:rFonts w:hint="eastAsia" w:ascii="宋体" w:hAnsi="宋体"/>
          <w:bCs/>
          <w:szCs w:val="21"/>
          <w:lang w:eastAsia="zh-CN"/>
        </w:rPr>
        <w:t>、安装</w:t>
      </w:r>
      <w:r>
        <w:rPr>
          <w:rFonts w:hint="eastAsia" w:ascii="宋体" w:hAnsi="宋体"/>
          <w:bCs/>
          <w:szCs w:val="21"/>
        </w:rPr>
        <w:t>过程技术咨询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乙方应在收到甲方提供的 </w:t>
      </w:r>
      <w:r>
        <w:rPr>
          <w:rFonts w:hint="eastAsia" w:ascii="宋体" w:hAnsi="宋体"/>
          <w:bCs/>
          <w:szCs w:val="21"/>
          <w:u w:val="single"/>
        </w:rPr>
        <w:t xml:space="preserve"> </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项目相关阶段资料之日起</w:t>
      </w:r>
      <w:r>
        <w:rPr>
          <w:rFonts w:hint="eastAsia" w:ascii="宋体" w:hAnsi="宋体"/>
          <w:bCs/>
          <w:szCs w:val="21"/>
          <w:u w:val="single"/>
        </w:rPr>
        <w:t xml:space="preserve"> 5日 </w:t>
      </w:r>
      <w:r>
        <w:rPr>
          <w:rFonts w:hint="eastAsia" w:ascii="宋体" w:hAnsi="宋体"/>
          <w:bCs/>
          <w:szCs w:val="21"/>
        </w:rPr>
        <w:t>内向甲方提出本阶段技术咨询意见，供甲方确认。</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第三章 技术咨询及配合要求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3.1乙方的技术咨询工作应满足国家、地方规定、规程以及项目所在地相关行业主管部门的要求；</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3.2乙方应充分利用自己的研究成果、技术经验和广泛的行业信息，对项目资料进行技术咨询；</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3.3乙方应提供充分、科学、合理、合规依据支持技术咨询意见，并负责与施工图设计单位和审图公司进行技术沟通；</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3.4甲方将书面授权乙方与设计单位进行沟通。</w:t>
      </w:r>
    </w:p>
    <w:p>
      <w:pPr>
        <w:adjustRightInd w:val="0"/>
        <w:spacing w:before="100" w:beforeAutospacing="1" w:after="100" w:afterAutospacing="1" w:line="360" w:lineRule="auto"/>
        <w:contextualSpacing/>
        <w:jc w:val="left"/>
        <w:rPr>
          <w:rFonts w:ascii="宋体" w:hAnsi="宋体"/>
          <w:b/>
          <w:szCs w:val="21"/>
        </w:rPr>
      </w:pPr>
      <w:r>
        <w:rPr>
          <w:rFonts w:hint="eastAsia" w:ascii="宋体" w:hAnsi="宋体"/>
          <w:b/>
          <w:szCs w:val="21"/>
        </w:rPr>
        <w:t>第四章 甲乙双方应提供的技术咨询资料和成果文件</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4.1甲方应根据乙方提供的服务内容分别提供相应的资料：</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4.1.1结构技术咨询服务</w:t>
      </w:r>
    </w:p>
    <w:p>
      <w:pPr>
        <w:numPr>
          <w:ilvl w:val="0"/>
          <w:numId w:val="5"/>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确定咨询前本项目的建筑、结构方案资料，以甲方项目负责人发至合同中乙方项目负责人的指定邮箱邮件为准；</w:t>
      </w:r>
    </w:p>
    <w:p>
      <w:pPr>
        <w:numPr>
          <w:ilvl w:val="0"/>
          <w:numId w:val="5"/>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本项目设计进度和施工图出图计划，以甲方项目负责人签发的书面形式或发至合同中乙方项目负责人的指定邮箱邮件为准；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3）本项目施工图审查合格报告复印件，以甲方项目负责人签字确认或发至合同中乙方项目负责人的指定邮箱邮件为准；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4）本项目技术咨询结算图纸（经审图单位审图合格后的施工图）以甲方项目负责人发至合同中乙方项目负责人的指定邮箱邮件为准。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4.1.2地下室停车位技术咨询服务</w:t>
      </w:r>
    </w:p>
    <w:p>
      <w:pPr>
        <w:numPr>
          <w:ilvl w:val="0"/>
          <w:numId w:val="6"/>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本项目技术咨询前、后地下室车库方案资料以甲方项目负责人发至合同中乙方项目负责人的指定邮箱邮件为准；</w:t>
      </w:r>
    </w:p>
    <w:p>
      <w:pPr>
        <w:numPr>
          <w:ilvl w:val="0"/>
          <w:numId w:val="6"/>
        </w:num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技术咨询前、后地下室车库方案资料作为本合同地下室停车位技术咨询费用的结算图纸和结算依据。</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4.1.3建筑技术咨询服务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宋体"/>
          <w:szCs w:val="21"/>
        </w:rPr>
        <w:t>甲方应及时向乙方提供本项目技术咨询前后的建筑方案、初步设计资料以及经审图后的施工图，</w:t>
      </w:r>
      <w:r>
        <w:rPr>
          <w:rFonts w:hint="eastAsia" w:ascii="宋体" w:hAnsi="宋体"/>
          <w:bCs/>
          <w:szCs w:val="21"/>
        </w:rPr>
        <w:t>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4.1.4安装部分技术咨询服务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cs="宋体"/>
          <w:szCs w:val="21"/>
        </w:rPr>
        <w:t>甲方应及时向乙方提供本项目技术咨询前后的</w:t>
      </w:r>
      <w:r>
        <w:rPr>
          <w:rFonts w:hint="eastAsia" w:ascii="宋体" w:hAnsi="宋体" w:cs="宋体"/>
          <w:szCs w:val="21"/>
          <w:lang w:eastAsia="zh-CN"/>
        </w:rPr>
        <w:t>安装工程</w:t>
      </w:r>
      <w:r>
        <w:rPr>
          <w:rFonts w:hint="eastAsia" w:ascii="宋体" w:hAnsi="宋体" w:cs="宋体"/>
          <w:szCs w:val="21"/>
        </w:rPr>
        <w:t>方案、初步设计资料以及经审图后的施工图，</w:t>
      </w:r>
      <w:r>
        <w:rPr>
          <w:rFonts w:hint="eastAsia" w:ascii="宋体" w:hAnsi="宋体"/>
          <w:bCs/>
          <w:szCs w:val="21"/>
        </w:rPr>
        <w:t>以甲方项目负责人发至合同中乙方项目负责人的指定邮箱邮件为准。</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4.2乙方应提供的技术咨询工作成果</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4.2.1结构技术咨询服务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乙方收到甲方提供的结构结算图纸（经审图单位审图合格后的施工图）后</w:t>
      </w:r>
      <w:r>
        <w:rPr>
          <w:rFonts w:hint="eastAsia" w:ascii="宋体" w:hAnsi="宋体"/>
          <w:bCs/>
          <w:szCs w:val="21"/>
          <w:u w:val="single"/>
        </w:rPr>
        <w:t xml:space="preserve"> 30日 </w:t>
      </w:r>
      <w:r>
        <w:rPr>
          <w:rFonts w:hint="eastAsia" w:ascii="宋体" w:hAnsi="宋体"/>
          <w:bCs/>
          <w:szCs w:val="21"/>
        </w:rPr>
        <w:t>内，乙方应向甲方提供《</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项目结构技术咨询报告》一式两份；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4.2.2地下室停车位技术咨询服务</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乙方应在收到甲方提供的</w:t>
      </w:r>
      <w:r>
        <w:rPr>
          <w:rFonts w:hint="eastAsia" w:ascii="宋体" w:hAnsi="宋体"/>
          <w:bCs/>
          <w:szCs w:val="21"/>
          <w:u w:val="single"/>
        </w:rPr>
        <w:t xml:space="preserve"> </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项目咨询前地下室车库方案资料之日起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项目地下室停车位技术咨询意见》 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4.2.3乙方应在收到甲方提供的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项目建筑方案、初步设计阶段资料之日起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项目建筑方案、初步设计阶段技术咨询意见》 一式两份；</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 xml:space="preserve">4.2.4乙方应在收到甲方提供的 </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项目安装</w:t>
      </w:r>
      <w:r>
        <w:rPr>
          <w:rFonts w:hint="eastAsia" w:ascii="宋体" w:hAnsi="宋体"/>
          <w:bCs/>
          <w:szCs w:val="21"/>
          <w:lang w:eastAsia="zh-CN"/>
        </w:rPr>
        <w:t>工程</w:t>
      </w:r>
      <w:r>
        <w:rPr>
          <w:rFonts w:hint="eastAsia" w:ascii="宋体" w:hAnsi="宋体"/>
          <w:bCs/>
          <w:szCs w:val="21"/>
        </w:rPr>
        <w:t>施工图之日起</w:t>
      </w:r>
      <w:r>
        <w:rPr>
          <w:rFonts w:hint="eastAsia" w:ascii="宋体" w:hAnsi="宋体"/>
          <w:bCs/>
          <w:szCs w:val="21"/>
          <w:u w:val="single"/>
        </w:rPr>
        <w:t xml:space="preserve"> 5日 </w:t>
      </w:r>
      <w:r>
        <w:rPr>
          <w:rFonts w:hint="eastAsia" w:ascii="宋体" w:hAnsi="宋体"/>
          <w:bCs/>
          <w:szCs w:val="21"/>
        </w:rPr>
        <w:t>内向甲方提供《</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rPr>
        <w:t>项目安装</w:t>
      </w:r>
      <w:r>
        <w:rPr>
          <w:rFonts w:hint="eastAsia" w:ascii="宋体" w:hAnsi="宋体"/>
          <w:bCs/>
          <w:szCs w:val="21"/>
          <w:lang w:eastAsia="zh-CN"/>
        </w:rPr>
        <w:t>工程</w:t>
      </w:r>
      <w:r>
        <w:rPr>
          <w:rFonts w:hint="eastAsia" w:ascii="宋体" w:hAnsi="宋体"/>
          <w:bCs/>
          <w:szCs w:val="21"/>
        </w:rPr>
        <w:t>技术咨询意见》 一式两份；</w:t>
      </w:r>
    </w:p>
    <w:p>
      <w:pPr>
        <w:tabs>
          <w:tab w:val="left" w:pos="840"/>
        </w:tabs>
        <w:spacing w:line="480" w:lineRule="atLeast"/>
        <w:rPr>
          <w:rFonts w:ascii="宋体"/>
          <w:szCs w:val="21"/>
        </w:rPr>
      </w:pPr>
      <w:r>
        <w:rPr>
          <w:rFonts w:hint="eastAsia" w:ascii="宋体" w:hAnsi="宋体"/>
          <w:bCs/>
          <w:szCs w:val="21"/>
        </w:rPr>
        <w:t>4.2.4 乙方在收到甲方提供的结算图纸及施工中标单位报价清单后</w:t>
      </w:r>
      <w:r>
        <w:rPr>
          <w:rFonts w:hint="eastAsia" w:ascii="宋体"/>
          <w:szCs w:val="21"/>
          <w:u w:val="single"/>
        </w:rPr>
        <w:t xml:space="preserve"> 30日 </w:t>
      </w:r>
      <w:r>
        <w:rPr>
          <w:rFonts w:hint="eastAsia" w:ascii="宋体"/>
          <w:szCs w:val="21"/>
        </w:rPr>
        <w:t>内，乙方向甲方提供</w:t>
      </w:r>
      <w:r>
        <w:rPr>
          <w:rFonts w:hint="eastAsia" w:ascii="宋体" w:hAnsi="宋体"/>
          <w:bCs/>
          <w:szCs w:val="21"/>
        </w:rPr>
        <w:t>《</w:t>
      </w:r>
      <w:r>
        <w:rPr>
          <w:rFonts w:hint="eastAsia" w:ascii="华文细黑" w:hAnsi="华文细黑"/>
          <w:szCs w:val="21"/>
          <w:u w:val="single"/>
        </w:rPr>
        <w:t xml:space="preserve"> </w:t>
      </w:r>
      <w:r>
        <w:rPr>
          <w:rFonts w:hint="eastAsia" w:ascii="华文细黑" w:hAnsi="华文细黑"/>
          <w:szCs w:val="21"/>
          <w:u w:val="single"/>
          <w:lang w:val="en-US" w:eastAsia="zh-CN"/>
        </w:rPr>
        <w:t>“通和沁园春晓</w:t>
      </w:r>
      <w:r>
        <w:rPr>
          <w:rFonts w:hint="eastAsia" w:ascii="华文细黑" w:hAnsi="华文细黑"/>
          <w:szCs w:val="21"/>
          <w:u w:val="single"/>
        </w:rPr>
        <w:t xml:space="preserve"> </w:t>
      </w:r>
      <w:r>
        <w:rPr>
          <w:rFonts w:hint="eastAsia" w:ascii="宋体" w:hAnsi="宋体"/>
          <w:bCs/>
          <w:szCs w:val="21"/>
          <w:u w:val="single"/>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w:t>
      </w:r>
      <w:r>
        <w:rPr>
          <w:rFonts w:hint="eastAsia" w:ascii="宋体"/>
          <w:szCs w:val="21"/>
        </w:rPr>
        <w:t>（含算量模型文件、算量软件为广联达）。</w:t>
      </w:r>
    </w:p>
    <w:p>
      <w:pPr>
        <w:adjustRightInd w:val="0"/>
        <w:spacing w:before="100" w:beforeAutospacing="1" w:after="100" w:afterAutospacing="1" w:line="360" w:lineRule="auto"/>
        <w:contextualSpacing/>
        <w:jc w:val="left"/>
        <w:rPr>
          <w:rFonts w:ascii="宋体" w:hAnsi="宋体"/>
          <w:b/>
          <w:bCs/>
          <w:szCs w:val="21"/>
        </w:rPr>
      </w:pPr>
      <w:r>
        <w:rPr>
          <w:rFonts w:hint="eastAsia" w:ascii="宋体" w:hAnsi="宋体"/>
          <w:b/>
          <w:bCs/>
          <w:szCs w:val="21"/>
        </w:rPr>
        <w:t xml:space="preserve">第五章 技术咨询费用的结算及支付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5.1 技术咨询取费标准</w:t>
      </w:r>
    </w:p>
    <w:p>
      <w:pPr>
        <w:adjustRightInd w:val="0"/>
        <w:spacing w:before="100" w:beforeAutospacing="1" w:after="100" w:afterAutospacing="1" w:line="360" w:lineRule="auto"/>
        <w:contextualSpacing/>
        <w:jc w:val="left"/>
        <w:rPr>
          <w:rFonts w:ascii="宋体" w:hAnsi="宋体"/>
          <w:b/>
          <w:szCs w:val="21"/>
          <w:u w:val="single"/>
        </w:rPr>
      </w:pPr>
      <w:r>
        <w:rPr>
          <w:rFonts w:hint="eastAsia" w:ascii="宋体" w:hAnsi="宋体"/>
          <w:bCs/>
          <w:szCs w:val="21"/>
        </w:rPr>
        <w:t xml:space="preserve">本项目技术咨询费用：  </w:t>
      </w:r>
      <w:r>
        <w:rPr>
          <w:rFonts w:hint="eastAsia" w:ascii="宋体" w:hAnsi="宋体"/>
          <w:b/>
          <w:szCs w:val="21"/>
        </w:rPr>
        <w:t xml:space="preserve"> A＝B ×</w:t>
      </w:r>
      <w:r>
        <w:rPr>
          <w:rFonts w:hint="eastAsia" w:ascii="宋体" w:hAnsi="宋体"/>
          <w:b/>
          <w:szCs w:val="21"/>
          <w:u w:val="single"/>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A—表示技术咨询费用；</w:t>
      </w:r>
    </w:p>
    <w:p>
      <w:pPr>
        <w:adjustRightInd w:val="0"/>
        <w:spacing w:before="100" w:beforeAutospacing="1" w:after="100" w:afterAutospacing="1" w:line="360" w:lineRule="auto"/>
        <w:contextualSpacing/>
        <w:jc w:val="left"/>
        <w:rPr>
          <w:rFonts w:ascii="宋体" w:hAnsi="宋体"/>
          <w:bCs/>
          <w:szCs w:val="21"/>
          <w:u w:val="single"/>
        </w:rPr>
      </w:pPr>
      <w:r>
        <w:rPr>
          <w:rFonts w:hint="eastAsia" w:ascii="宋体" w:hAnsi="宋体"/>
          <w:bCs/>
          <w:szCs w:val="21"/>
        </w:rPr>
        <w:t>B—表示技术咨询节约成本(包括结构技术咨询、地下停车位咨询、安装</w:t>
      </w:r>
      <w:r>
        <w:rPr>
          <w:rFonts w:hint="eastAsia" w:ascii="宋体" w:hAnsi="宋体"/>
          <w:bCs/>
          <w:szCs w:val="21"/>
          <w:lang w:eastAsia="zh-CN"/>
        </w:rPr>
        <w:t>工程</w:t>
      </w:r>
      <w:r>
        <w:rPr>
          <w:rFonts w:hint="eastAsia" w:ascii="宋体" w:hAnsi="宋体"/>
          <w:bCs/>
          <w:szCs w:val="21"/>
        </w:rPr>
        <w:t>咨询等所节约的成本)：</w:t>
      </w:r>
      <w:r>
        <w:rPr>
          <w:rFonts w:hint="eastAsia" w:ascii="宋体" w:hAnsi="宋体"/>
          <w:bCs/>
          <w:szCs w:val="21"/>
          <w:u w:val="single"/>
        </w:rPr>
        <w:t xml:space="preserve"> B = Xi + Yi + Zi+ Wi  </w:t>
      </w:r>
    </w:p>
    <w:p>
      <w:pPr>
        <w:adjustRightInd w:val="0"/>
        <w:spacing w:before="100" w:beforeAutospacing="1" w:after="100" w:afterAutospacing="1" w:line="360" w:lineRule="auto"/>
        <w:contextualSpacing/>
        <w:jc w:val="left"/>
        <w:rPr>
          <w:rFonts w:hint="eastAsia" w:ascii="宋体" w:hAnsi="宋体" w:eastAsia="宋体"/>
          <w:bCs/>
          <w:szCs w:val="21"/>
          <w:lang w:eastAsia="zh-CN"/>
        </w:rPr>
      </w:pPr>
      <w:r>
        <w:rPr>
          <w:rFonts w:hint="eastAsia" w:ascii="宋体" w:hAnsi="宋体"/>
          <w:bCs/>
          <w:szCs w:val="21"/>
        </w:rPr>
        <w:t>钢筋节约成本 Xi = (Mi-Bi)*Si*A1；</w:t>
      </w:r>
      <w:r>
        <w:rPr>
          <w:rFonts w:hint="eastAsia" w:ascii="宋体" w:hAnsi="宋体"/>
          <w:bCs/>
          <w:szCs w:val="21"/>
          <w:lang w:eastAsia="zh-CN"/>
        </w:rPr>
        <w:t>（若</w:t>
      </w:r>
      <w:r>
        <w:rPr>
          <w:rFonts w:hint="eastAsia" w:ascii="宋体" w:hAnsi="宋体"/>
          <w:bCs/>
          <w:szCs w:val="21"/>
        </w:rPr>
        <w:t xml:space="preserve"> Xi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bCs/>
          <w:szCs w:val="21"/>
        </w:rPr>
        <w:t>Xi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混凝土节约成本 Yi = (Ni-Ci)*Si*A2；</w:t>
      </w:r>
      <w:r>
        <w:rPr>
          <w:rFonts w:hint="eastAsia" w:ascii="宋体" w:hAnsi="宋体"/>
          <w:bCs/>
          <w:szCs w:val="21"/>
          <w:lang w:eastAsia="zh-CN"/>
        </w:rPr>
        <w:t>（若</w:t>
      </w:r>
      <w:r>
        <w:rPr>
          <w:rFonts w:hint="eastAsia" w:ascii="宋体" w:hAnsi="宋体"/>
          <w:bCs/>
          <w:szCs w:val="21"/>
        </w:rPr>
        <w:t xml:space="preserve"> </w:t>
      </w:r>
      <w:r>
        <w:rPr>
          <w:rFonts w:hint="eastAsia" w:ascii="宋体" w:hAnsi="宋体" w:cs="Arial"/>
          <w:szCs w:val="21"/>
        </w:rPr>
        <w:t>Yi</w:t>
      </w:r>
      <w:r>
        <w:rPr>
          <w:rFonts w:hint="eastAsia" w:ascii="宋体" w:hAnsi="宋体"/>
          <w:bCs/>
          <w:szCs w:val="21"/>
          <w:lang w:eastAsia="zh-CN"/>
        </w:rPr>
        <w:t>小于</w:t>
      </w:r>
      <w:r>
        <w:rPr>
          <w:rFonts w:hint="eastAsia" w:ascii="宋体" w:hAnsi="宋体"/>
          <w:bCs/>
          <w:szCs w:val="21"/>
          <w:lang w:val="en-US" w:eastAsia="zh-CN"/>
        </w:rPr>
        <w:t>0元，则</w:t>
      </w:r>
      <w:r>
        <w:rPr>
          <w:rFonts w:hint="eastAsia" w:ascii="宋体" w:hAnsi="宋体" w:cs="Arial"/>
          <w:szCs w:val="21"/>
        </w:rPr>
        <w:t>Yi</w:t>
      </w:r>
      <w:r>
        <w:rPr>
          <w:rFonts w:hint="eastAsia" w:ascii="宋体" w:hAnsi="宋体"/>
          <w:bCs/>
          <w:szCs w:val="21"/>
          <w:lang w:eastAsia="zh-CN"/>
        </w:rPr>
        <w:t>取值为</w:t>
      </w:r>
      <w:r>
        <w:rPr>
          <w:rFonts w:hint="eastAsia" w:ascii="宋体" w:hAnsi="宋体"/>
          <w:bCs/>
          <w:szCs w:val="21"/>
          <w:lang w:val="en-US" w:eastAsia="zh-CN"/>
        </w:rPr>
        <w:t>0元</w:t>
      </w:r>
      <w:r>
        <w:rPr>
          <w:rFonts w:hint="eastAsia" w:ascii="宋体" w:hAnsi="宋体"/>
          <w:bCs/>
          <w:szCs w:val="21"/>
          <w:lang w:eastAsia="zh-CN"/>
        </w:rPr>
        <w:t>）</w:t>
      </w:r>
    </w:p>
    <w:p>
      <w:pPr>
        <w:adjustRightInd w:val="0"/>
        <w:spacing w:before="100" w:beforeAutospacing="1" w:after="100" w:afterAutospacing="1" w:line="360" w:lineRule="auto"/>
        <w:contextualSpacing/>
        <w:jc w:val="left"/>
        <w:rPr>
          <w:rFonts w:ascii="宋体" w:hAnsi="宋体" w:cs="Arial"/>
          <w:szCs w:val="21"/>
        </w:rPr>
      </w:pPr>
      <w:r>
        <w:rPr>
          <w:rFonts w:hint="eastAsia" w:ascii="宋体" w:hAnsi="宋体" w:cs="Arial"/>
          <w:szCs w:val="21"/>
        </w:rPr>
        <w:t>地下停车位节约成本 Zi = S*A3；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安装工程节约成本</w:t>
      </w:r>
      <w:r>
        <w:rPr>
          <w:rFonts w:hint="eastAsia" w:ascii="宋体" w:hAnsi="宋体"/>
          <w:bCs/>
          <w:szCs w:val="21"/>
          <w:u w:val="single"/>
        </w:rPr>
        <w:t>Wi=</w:t>
      </w:r>
      <w:r>
        <w:rPr>
          <w:rFonts w:hint="eastAsia" w:ascii="宋体" w:hAnsi="宋体" w:cs="Arial"/>
          <w:sz w:val="24"/>
          <w:szCs w:val="24"/>
        </w:rPr>
        <w:t>Fi*Gi*0.8</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A1—表示钢筋部分综合单价（含材料费、人工费、机械费、税金等综合费用），为</w:t>
      </w:r>
      <w:r>
        <w:rPr>
          <w:rFonts w:hint="eastAsia" w:ascii="宋体" w:hAnsi="宋体"/>
          <w:bCs/>
          <w:szCs w:val="21"/>
          <w:u w:val="single"/>
        </w:rPr>
        <w:t xml:space="preserve"> 4.8 </w:t>
      </w:r>
      <w:r>
        <w:rPr>
          <w:rFonts w:hint="eastAsia" w:ascii="宋体" w:hAnsi="宋体"/>
          <w:bCs/>
          <w:szCs w:val="21"/>
        </w:rPr>
        <w:t>元/kg；</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A2—表示混凝土部分综合单价（含材料费、人工费、机械费、税金等综合费用），为</w:t>
      </w:r>
      <w:r>
        <w:rPr>
          <w:rFonts w:hint="eastAsia" w:ascii="宋体" w:hAnsi="宋体"/>
          <w:bCs/>
          <w:szCs w:val="21"/>
          <w:u w:val="single"/>
        </w:rPr>
        <w:t xml:space="preserve"> 600 </w:t>
      </w:r>
      <w:r>
        <w:rPr>
          <w:rFonts w:hint="eastAsia" w:ascii="宋体" w:hAnsi="宋体"/>
          <w:bCs/>
          <w:szCs w:val="21"/>
        </w:rPr>
        <w:t>元/m3；</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A3—表示地下室综合单价，为</w:t>
      </w:r>
      <w:r>
        <w:rPr>
          <w:rFonts w:hint="eastAsia" w:ascii="宋体" w:hAnsi="宋体"/>
          <w:bCs/>
          <w:szCs w:val="21"/>
          <w:u w:val="single"/>
        </w:rPr>
        <w:t xml:space="preserve"> 2000 </w:t>
      </w:r>
      <w:r>
        <w:rPr>
          <w:rFonts w:hint="eastAsia" w:ascii="宋体" w:hAnsi="宋体"/>
          <w:bCs/>
          <w:szCs w:val="21"/>
        </w:rPr>
        <w:t>元/m2；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角标i—代表本项目各部分，详见附件《</w:t>
      </w:r>
      <w:r>
        <w:rPr>
          <w:rFonts w:hint="eastAsia" w:ascii="宋体" w:hAnsi="宋体"/>
          <w:bCs/>
          <w:szCs w:val="21"/>
          <w:lang w:eastAsia="zh-CN"/>
        </w:rPr>
        <w:t>通和沁园春晓</w:t>
      </w:r>
      <w:r>
        <w:rPr>
          <w:rFonts w:hint="eastAsia" w:ascii="宋体" w:hAnsi="宋体"/>
          <w:bCs/>
          <w:szCs w:val="21"/>
        </w:rPr>
        <w:t>结构成本指标一览表》。</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Mi—表示本项目各部分结构钢筋含量成本核算指标,以附件《</w:t>
      </w:r>
      <w:r>
        <w:rPr>
          <w:rFonts w:hint="eastAsia" w:ascii="宋体" w:hAnsi="宋体"/>
          <w:bCs/>
          <w:szCs w:val="21"/>
          <w:lang w:eastAsia="zh-CN"/>
        </w:rPr>
        <w:t>通和沁园春晓</w:t>
      </w:r>
      <w:r>
        <w:rPr>
          <w:rFonts w:hint="eastAsia" w:ascii="宋体" w:hAnsi="宋体"/>
          <w:bCs/>
          <w:szCs w:val="21"/>
        </w:rPr>
        <w:t>结构成本指标一览表》为准（单位：kg/m2）。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Bi—表示本项目各部分结构实际结构含钢量，不含钢结构、桩基础、游泳池、景观部分、砌体拉筋以及施工措施、损耗部分的钢筋量（单位：kg/m2）。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Ni—本项目各部分结构混凝土含量成本核算指标,以附件《通和</w:t>
      </w:r>
      <w:r>
        <w:rPr>
          <w:rFonts w:hint="eastAsia" w:ascii="宋体" w:hAnsi="宋体"/>
          <w:bCs/>
          <w:szCs w:val="21"/>
          <w:lang w:val="en-US" w:eastAsia="zh-CN"/>
        </w:rPr>
        <w:t>蜀山SS202119地块</w:t>
      </w:r>
      <w:r>
        <w:rPr>
          <w:rFonts w:hint="eastAsia" w:ascii="宋体" w:hAnsi="宋体"/>
          <w:bCs/>
          <w:szCs w:val="21"/>
        </w:rPr>
        <w:t>结构成本指标一览表》为准（单位：m3/m2）。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Ci—表示设计优化控制后本项目各部分结构实际结构混凝土含量，不含桩基础、垫层、游泳池、景观部分、空调板、反沿、挡水等建筑做法部分以及施工措施、损耗部分的混凝土量（单位：m3/m2）。</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S—表示地库停车位未减少停车位数量及满足配套用房使用功能的情况下，通过优化减少的地库面积。</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Fi-表示安装各部分通过优化节约的数量；</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Gi-表示甲方本项目安装各部位对应的施工中标单价。</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w:t>
      </w:r>
      <w:r>
        <w:rPr>
          <w:rFonts w:hint="eastAsia" w:ascii="宋体" w:hAnsi="宋体" w:cs="宋体"/>
          <w:szCs w:val="21"/>
        </w:rPr>
        <w:t>技术咨询</w:t>
      </w:r>
      <w:r>
        <w:rPr>
          <w:rFonts w:hint="eastAsia"/>
          <w:szCs w:val="21"/>
        </w:rPr>
        <w:t>费用的结算方法</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5.2.1</w:t>
      </w:r>
      <w:r>
        <w:rPr>
          <w:rFonts w:ascii="宋体" w:hAnsi="宋体"/>
          <w:bCs/>
          <w:szCs w:val="21"/>
        </w:rPr>
        <w:t>项目优化服务费上限：</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(1)整个项目优化节约总额估算值少于</w:t>
      </w:r>
      <w:r>
        <w:rPr>
          <w:rFonts w:ascii="宋体" w:hAnsi="宋体"/>
          <w:bCs/>
          <w:color w:val="auto"/>
          <w:szCs w:val="21"/>
          <w:lang w:val="en-US"/>
        </w:rPr>
        <w:t>100</w:t>
      </w:r>
      <w:r>
        <w:rPr>
          <w:rFonts w:ascii="宋体" w:hAnsi="宋体"/>
          <w:bCs/>
          <w:color w:val="auto"/>
          <w:szCs w:val="21"/>
        </w:rPr>
        <w:t>万元时，</w:t>
      </w:r>
      <w:r>
        <w:rPr>
          <w:rFonts w:hint="eastAsia" w:ascii="宋体" w:hAnsi="宋体"/>
          <w:bCs/>
          <w:color w:val="auto"/>
          <w:szCs w:val="21"/>
        </w:rPr>
        <w:t>乙方</w:t>
      </w:r>
      <w:r>
        <w:rPr>
          <w:rFonts w:ascii="宋体" w:hAnsi="宋体"/>
          <w:bCs/>
          <w:color w:val="auto"/>
          <w:szCs w:val="21"/>
        </w:rPr>
        <w:t>不收取任何</w:t>
      </w:r>
      <w:r>
        <w:rPr>
          <w:rFonts w:hint="eastAsia" w:ascii="宋体" w:hAnsi="宋体"/>
          <w:bCs/>
          <w:color w:val="auto"/>
          <w:szCs w:val="21"/>
          <w:lang w:eastAsia="zh-CN"/>
        </w:rPr>
        <w:t>优化服务</w:t>
      </w:r>
      <w:r>
        <w:rPr>
          <w:rFonts w:ascii="宋体" w:hAnsi="宋体"/>
          <w:bCs/>
          <w:color w:val="auto"/>
          <w:szCs w:val="21"/>
        </w:rPr>
        <w:t>费用。</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(2)整个项目优化节约总额估算值大于等于</w:t>
      </w:r>
      <w:r>
        <w:rPr>
          <w:rFonts w:ascii="宋体" w:hAnsi="宋体"/>
          <w:bCs/>
          <w:color w:val="auto"/>
          <w:szCs w:val="21"/>
          <w:lang w:val="en-US"/>
        </w:rPr>
        <w:t>100</w:t>
      </w:r>
      <w:r>
        <w:rPr>
          <w:rFonts w:ascii="宋体" w:hAnsi="宋体"/>
          <w:bCs/>
          <w:color w:val="auto"/>
          <w:szCs w:val="21"/>
        </w:rPr>
        <w:t xml:space="preserve"> 万元，小于</w:t>
      </w:r>
      <w:r>
        <w:rPr>
          <w:rFonts w:ascii="宋体" w:hAnsi="宋体"/>
          <w:bCs/>
          <w:color w:val="auto"/>
          <w:szCs w:val="21"/>
          <w:u w:val="single"/>
        </w:rPr>
        <w:t xml:space="preserve"> </w:t>
      </w:r>
      <w:r>
        <w:rPr>
          <w:rFonts w:ascii="宋体" w:hAnsi="宋体"/>
          <w:bCs/>
          <w:color w:val="auto"/>
          <w:szCs w:val="21"/>
          <w:u w:val="single"/>
          <w:lang w:val="en-US"/>
        </w:rPr>
        <w:t>350</w:t>
      </w:r>
      <w:r>
        <w:rPr>
          <w:rFonts w:ascii="宋体" w:hAnsi="宋体"/>
          <w:bCs/>
          <w:color w:val="auto"/>
          <w:szCs w:val="21"/>
          <w:u w:val="single"/>
        </w:rPr>
        <w:t xml:space="preserve"> </w:t>
      </w:r>
      <w:r>
        <w:rPr>
          <w:rFonts w:ascii="宋体" w:hAnsi="宋体"/>
          <w:bCs/>
          <w:color w:val="auto"/>
          <w:szCs w:val="21"/>
        </w:rPr>
        <w:t>万元时，</w:t>
      </w:r>
      <w:r>
        <w:rPr>
          <w:rFonts w:hint="eastAsia" w:ascii="宋体" w:hAnsi="宋体"/>
          <w:bCs/>
          <w:color w:val="auto"/>
          <w:szCs w:val="21"/>
          <w:lang w:eastAsia="zh-CN"/>
        </w:rPr>
        <w:t>本合同项下优化服务费的计取方式</w:t>
      </w:r>
      <w:r>
        <w:rPr>
          <w:rFonts w:ascii="宋体" w:hAnsi="宋体"/>
          <w:bCs/>
          <w:color w:val="auto"/>
          <w:szCs w:val="21"/>
        </w:rPr>
        <w:t>为</w:t>
      </w:r>
      <w:r>
        <w:rPr>
          <w:rFonts w:hint="eastAsia" w:ascii="宋体" w:hAnsi="宋体"/>
          <w:bCs/>
          <w:color w:val="auto"/>
          <w:szCs w:val="21"/>
          <w:lang w:eastAsia="zh-CN"/>
        </w:rPr>
        <w:t>：项目通过优化</w:t>
      </w:r>
      <w:r>
        <w:rPr>
          <w:rFonts w:ascii="宋体" w:hAnsi="宋体"/>
          <w:bCs/>
          <w:color w:val="auto"/>
          <w:szCs w:val="21"/>
        </w:rPr>
        <w:t>节约总额（不扣除 1</w:t>
      </w:r>
      <w:r>
        <w:rPr>
          <w:rFonts w:ascii="宋体" w:hAnsi="宋体"/>
          <w:bCs/>
          <w:color w:val="auto"/>
          <w:szCs w:val="21"/>
          <w:lang w:val="en-US"/>
        </w:rPr>
        <w:t>00</w:t>
      </w:r>
      <w:r>
        <w:rPr>
          <w:rFonts w:ascii="宋体" w:hAnsi="宋体"/>
          <w:bCs/>
          <w:color w:val="auto"/>
          <w:szCs w:val="21"/>
        </w:rPr>
        <w:t>万元）乘以</w:t>
      </w:r>
      <w:r>
        <w:rPr>
          <w:rFonts w:hint="eastAsia" w:ascii="宋体" w:hAnsi="宋体"/>
          <w:bCs/>
          <w:color w:val="auto"/>
          <w:szCs w:val="21"/>
          <w:u w:val="single"/>
        </w:rPr>
        <w:t xml:space="preserve"> （投标</w:t>
      </w:r>
      <w:r>
        <w:rPr>
          <w:rFonts w:ascii="宋体" w:hAnsi="宋体"/>
          <w:bCs/>
          <w:color w:val="auto"/>
          <w:szCs w:val="21"/>
        </w:rPr>
        <w:t>费率</w:t>
      </w:r>
      <w:r>
        <w:rPr>
          <w:rFonts w:hint="eastAsia" w:ascii="宋体" w:hAnsi="宋体"/>
          <w:bCs/>
          <w:color w:val="auto"/>
          <w:szCs w:val="21"/>
          <w:lang w:eastAsia="zh-CN"/>
        </w:rPr>
        <w:t>）</w:t>
      </w:r>
      <w:r>
        <w:rPr>
          <w:rFonts w:hint="eastAsia" w:ascii="宋体" w:hAnsi="宋体"/>
          <w:bCs/>
          <w:color w:val="auto"/>
          <w:szCs w:val="21"/>
          <w:u w:val="none"/>
          <w:lang w:eastAsia="zh-CN"/>
        </w:rPr>
        <w:t>，计取的优化服务费低于</w:t>
      </w:r>
      <w:r>
        <w:rPr>
          <w:rFonts w:hint="default" w:ascii="宋体" w:hAnsi="宋体"/>
          <w:bCs/>
          <w:color w:val="auto"/>
          <w:szCs w:val="21"/>
          <w:u w:val="none"/>
          <w:lang w:val="en-US" w:eastAsia="zh-CN"/>
        </w:rPr>
        <w:t>35万</w:t>
      </w:r>
      <w:r>
        <w:rPr>
          <w:rFonts w:hint="eastAsia" w:ascii="宋体" w:hAnsi="宋体"/>
          <w:bCs/>
          <w:color w:val="auto"/>
          <w:szCs w:val="21"/>
          <w:u w:val="none"/>
          <w:lang w:val="en-US" w:eastAsia="zh-CN"/>
        </w:rPr>
        <w:t>的按照实际计取费用结算，计取的服务费</w:t>
      </w:r>
      <w:r>
        <w:rPr>
          <w:rFonts w:ascii="宋体" w:hAnsi="宋体"/>
          <w:bCs/>
          <w:color w:val="auto"/>
          <w:szCs w:val="21"/>
        </w:rPr>
        <w:t>超过</w:t>
      </w:r>
      <w:r>
        <w:rPr>
          <w:rFonts w:ascii="宋体" w:hAnsi="宋体"/>
          <w:bCs/>
          <w:color w:val="auto"/>
          <w:szCs w:val="21"/>
          <w:u w:val="single"/>
        </w:rPr>
        <w:t xml:space="preserve"> </w:t>
      </w:r>
      <w:r>
        <w:rPr>
          <w:rFonts w:ascii="宋体" w:hAnsi="宋体"/>
          <w:bCs/>
          <w:color w:val="auto"/>
          <w:szCs w:val="21"/>
          <w:u w:val="single"/>
          <w:lang w:val="en-US"/>
        </w:rPr>
        <w:t>35</w:t>
      </w:r>
      <w:r>
        <w:rPr>
          <w:rFonts w:ascii="宋体" w:hAnsi="宋体"/>
          <w:bCs/>
          <w:color w:val="auto"/>
          <w:szCs w:val="21"/>
        </w:rPr>
        <w:t>万元</w:t>
      </w:r>
      <w:r>
        <w:rPr>
          <w:rFonts w:hint="eastAsia" w:ascii="宋体" w:hAnsi="宋体"/>
          <w:bCs/>
          <w:color w:val="auto"/>
          <w:szCs w:val="21"/>
          <w:lang w:eastAsia="zh-CN"/>
        </w:rPr>
        <w:t>的按</w:t>
      </w:r>
      <w:r>
        <w:rPr>
          <w:rFonts w:hint="default" w:ascii="宋体" w:hAnsi="宋体"/>
          <w:bCs/>
          <w:color w:val="auto"/>
          <w:szCs w:val="21"/>
          <w:lang w:val="en-US" w:eastAsia="zh-CN"/>
        </w:rPr>
        <w:t>35</w:t>
      </w:r>
      <w:r>
        <w:rPr>
          <w:rFonts w:hint="eastAsia" w:ascii="宋体" w:hAnsi="宋体"/>
          <w:bCs/>
          <w:color w:val="auto"/>
          <w:szCs w:val="21"/>
          <w:lang w:val="en-US" w:eastAsia="zh-CN"/>
        </w:rPr>
        <w:t>万结算</w:t>
      </w:r>
      <w:r>
        <w:rPr>
          <w:rFonts w:ascii="宋体" w:hAnsi="宋体"/>
          <w:bCs/>
          <w:color w:val="auto"/>
          <w:szCs w:val="21"/>
        </w:rPr>
        <w:t>。</w:t>
      </w:r>
    </w:p>
    <w:p>
      <w:pPr>
        <w:adjustRightInd w:val="0"/>
        <w:spacing w:before="100" w:beforeAutospacing="1" w:after="100" w:afterAutospacing="1" w:line="360" w:lineRule="auto"/>
        <w:contextualSpacing/>
        <w:jc w:val="left"/>
        <w:rPr>
          <w:rFonts w:ascii="宋体" w:hAnsi="宋体"/>
          <w:bCs/>
          <w:color w:val="auto"/>
          <w:szCs w:val="21"/>
        </w:rPr>
      </w:pPr>
      <w:r>
        <w:rPr>
          <w:rFonts w:ascii="宋体" w:hAnsi="宋体"/>
          <w:bCs/>
          <w:color w:val="auto"/>
          <w:szCs w:val="21"/>
        </w:rPr>
        <w:t>(3)整个项目优化节约总额估算值大于等于</w:t>
      </w:r>
      <w:r>
        <w:rPr>
          <w:rFonts w:ascii="宋体" w:hAnsi="宋体"/>
          <w:bCs/>
          <w:color w:val="auto"/>
          <w:szCs w:val="21"/>
          <w:lang w:val="en-US"/>
        </w:rPr>
        <w:t>350</w:t>
      </w:r>
      <w:r>
        <w:rPr>
          <w:rFonts w:ascii="宋体" w:hAnsi="宋体"/>
          <w:bCs/>
          <w:color w:val="auto"/>
          <w:szCs w:val="21"/>
        </w:rPr>
        <w:t>万元时，</w:t>
      </w:r>
      <w:r>
        <w:rPr>
          <w:rFonts w:hint="eastAsia" w:ascii="宋体" w:hAnsi="宋体"/>
          <w:bCs/>
          <w:color w:val="auto"/>
          <w:szCs w:val="21"/>
          <w:lang w:eastAsia="zh-CN"/>
        </w:rPr>
        <w:t>本合同项下的优化服务费计取方式为：项目通过优化</w:t>
      </w:r>
      <w:r>
        <w:rPr>
          <w:rFonts w:ascii="宋体" w:hAnsi="宋体"/>
          <w:bCs/>
          <w:color w:val="auto"/>
          <w:szCs w:val="21"/>
        </w:rPr>
        <w:t>节约总额（不扣除1</w:t>
      </w:r>
      <w:r>
        <w:rPr>
          <w:rFonts w:ascii="宋体" w:hAnsi="宋体"/>
          <w:bCs/>
          <w:color w:val="auto"/>
          <w:szCs w:val="21"/>
          <w:lang w:val="en-US"/>
        </w:rPr>
        <w:t>0</w:t>
      </w:r>
      <w:r>
        <w:rPr>
          <w:rFonts w:ascii="宋体" w:hAnsi="宋体"/>
          <w:bCs/>
          <w:color w:val="auto"/>
          <w:szCs w:val="21"/>
        </w:rPr>
        <w:t>0万元）乘以</w:t>
      </w:r>
      <w:r>
        <w:rPr>
          <w:rFonts w:hint="eastAsia" w:ascii="宋体" w:hAnsi="宋体"/>
          <w:bCs/>
          <w:color w:val="auto"/>
          <w:szCs w:val="21"/>
          <w:u w:val="single"/>
        </w:rPr>
        <w:t xml:space="preserve">  （投标</w:t>
      </w:r>
      <w:r>
        <w:rPr>
          <w:rFonts w:ascii="宋体" w:hAnsi="宋体"/>
          <w:bCs/>
          <w:color w:val="auto"/>
          <w:szCs w:val="21"/>
        </w:rPr>
        <w:t>费率</w:t>
      </w:r>
      <w:r>
        <w:rPr>
          <w:rFonts w:hint="eastAsia" w:ascii="宋体" w:hAnsi="宋体"/>
          <w:bCs/>
          <w:color w:val="auto"/>
          <w:szCs w:val="21"/>
          <w:lang w:eastAsia="zh-CN"/>
        </w:rPr>
        <w:t>）</w:t>
      </w:r>
      <w:r>
        <w:rPr>
          <w:rFonts w:ascii="宋体" w:hAnsi="宋体"/>
          <w:bCs/>
          <w:color w:val="auto"/>
          <w:szCs w:val="21"/>
        </w:rPr>
        <w:t>，</w:t>
      </w:r>
      <w:r>
        <w:rPr>
          <w:rFonts w:hint="eastAsia" w:ascii="宋体" w:hAnsi="宋体"/>
          <w:bCs/>
          <w:color w:val="auto"/>
          <w:szCs w:val="21"/>
          <w:u w:val="none"/>
          <w:lang w:eastAsia="zh-CN"/>
        </w:rPr>
        <w:t>计取的优化服务费低于</w:t>
      </w:r>
      <w:r>
        <w:rPr>
          <w:rFonts w:hint="default" w:ascii="宋体" w:hAnsi="宋体"/>
          <w:bCs/>
          <w:color w:val="auto"/>
          <w:szCs w:val="21"/>
          <w:u w:val="none"/>
          <w:lang w:val="en-US" w:eastAsia="zh-CN"/>
        </w:rPr>
        <w:t>40万</w:t>
      </w:r>
      <w:r>
        <w:rPr>
          <w:rFonts w:hint="eastAsia" w:ascii="宋体" w:hAnsi="宋体"/>
          <w:bCs/>
          <w:color w:val="auto"/>
          <w:szCs w:val="21"/>
          <w:u w:val="none"/>
          <w:lang w:val="en-US" w:eastAsia="zh-CN"/>
        </w:rPr>
        <w:t>的按照实际计取费用结算，计取的服务费</w:t>
      </w:r>
      <w:r>
        <w:rPr>
          <w:rFonts w:ascii="宋体" w:hAnsi="宋体"/>
          <w:bCs/>
          <w:color w:val="auto"/>
          <w:szCs w:val="21"/>
        </w:rPr>
        <w:t>超过</w:t>
      </w:r>
      <w:r>
        <w:rPr>
          <w:rFonts w:ascii="宋体" w:hAnsi="宋体"/>
          <w:bCs/>
          <w:color w:val="auto"/>
          <w:szCs w:val="21"/>
          <w:u w:val="single"/>
        </w:rPr>
        <w:t xml:space="preserve"> </w:t>
      </w:r>
      <w:r>
        <w:rPr>
          <w:rFonts w:ascii="宋体" w:hAnsi="宋体"/>
          <w:bCs/>
          <w:color w:val="auto"/>
          <w:szCs w:val="21"/>
          <w:u w:val="single"/>
          <w:lang w:val="en-US"/>
        </w:rPr>
        <w:t>40</w:t>
      </w:r>
      <w:r>
        <w:rPr>
          <w:rFonts w:ascii="宋体" w:hAnsi="宋体"/>
          <w:bCs/>
          <w:color w:val="auto"/>
          <w:szCs w:val="21"/>
        </w:rPr>
        <w:t>万元</w:t>
      </w:r>
      <w:r>
        <w:rPr>
          <w:rFonts w:hint="eastAsia" w:ascii="宋体" w:hAnsi="宋体"/>
          <w:bCs/>
          <w:color w:val="auto"/>
          <w:szCs w:val="21"/>
          <w:lang w:eastAsia="zh-CN"/>
        </w:rPr>
        <w:t>的按</w:t>
      </w:r>
      <w:r>
        <w:rPr>
          <w:rFonts w:hint="eastAsia" w:ascii="宋体" w:hAnsi="宋体"/>
          <w:bCs/>
          <w:color w:val="auto"/>
          <w:szCs w:val="21"/>
          <w:lang w:val="en-US" w:eastAsia="zh-CN"/>
        </w:rPr>
        <w:t>4</w:t>
      </w:r>
      <w:r>
        <w:rPr>
          <w:rFonts w:hint="default" w:ascii="宋体" w:hAnsi="宋体"/>
          <w:bCs/>
          <w:color w:val="auto"/>
          <w:szCs w:val="21"/>
          <w:lang w:val="en-US" w:eastAsia="zh-CN"/>
        </w:rPr>
        <w:t>0</w:t>
      </w:r>
      <w:r>
        <w:rPr>
          <w:rFonts w:hint="eastAsia" w:ascii="宋体" w:hAnsi="宋体"/>
          <w:bCs/>
          <w:color w:val="auto"/>
          <w:szCs w:val="21"/>
          <w:lang w:val="en-US" w:eastAsia="zh-CN"/>
        </w:rPr>
        <w:t>万结算</w:t>
      </w:r>
      <w:r>
        <w:rPr>
          <w:rFonts w:ascii="宋体" w:hAnsi="宋体"/>
          <w:bCs/>
          <w:color w:val="auto"/>
          <w:szCs w:val="21"/>
        </w:rPr>
        <w:t>。</w:t>
      </w:r>
    </w:p>
    <w:p>
      <w:pPr>
        <w:adjustRightInd w:val="0"/>
        <w:spacing w:before="100" w:beforeAutospacing="1" w:after="100" w:afterAutospacing="1" w:line="360" w:lineRule="auto"/>
        <w:contextualSpacing/>
        <w:jc w:val="left"/>
        <w:rPr>
          <w:rFonts w:ascii="宋体" w:hAnsi="宋体"/>
          <w:bCs/>
          <w:color w:val="auto"/>
          <w:szCs w:val="21"/>
        </w:rPr>
      </w:pPr>
      <w:r>
        <w:rPr>
          <w:rFonts w:hint="eastAsia" w:ascii="宋体" w:hAnsi="宋体"/>
          <w:bCs/>
          <w:color w:val="auto"/>
          <w:szCs w:val="21"/>
          <w:lang w:eastAsia="zh-CN"/>
        </w:rPr>
        <w:t>注：上述的优化服务费中均含税金，税率为</w:t>
      </w:r>
      <w:r>
        <w:rPr>
          <w:rFonts w:hint="eastAsia" w:ascii="宋体" w:hAnsi="宋体"/>
          <w:bCs/>
          <w:color w:val="auto"/>
          <w:szCs w:val="21"/>
          <w:lang w:val="en-US" w:eastAsia="zh-CN"/>
        </w:rPr>
        <w:t xml:space="preserve">   %</w:t>
      </w:r>
    </w:p>
    <w:p>
      <w:pPr>
        <w:adjustRightInd w:val="0"/>
        <w:spacing w:before="100" w:beforeAutospacing="1" w:after="100" w:afterAutospacing="1" w:line="360" w:lineRule="auto"/>
        <w:contextualSpacing/>
        <w:jc w:val="left"/>
        <w:rPr>
          <w:rFonts w:ascii="宋体" w:hAnsi="宋体"/>
          <w:bCs/>
          <w:szCs w:val="21"/>
        </w:rPr>
      </w:pPr>
      <w:r>
        <w:rPr>
          <w:rFonts w:hint="eastAsia" w:ascii="宋体" w:hAnsi="宋体"/>
          <w:bCs/>
          <w:szCs w:val="21"/>
        </w:rPr>
        <w:t>5.2.2</w:t>
      </w:r>
      <w:r>
        <w:rPr>
          <w:rFonts w:ascii="宋体" w:hAnsi="宋体"/>
          <w:bCs/>
          <w:szCs w:val="21"/>
        </w:rPr>
        <w:t>建筑专业优化作为免费服务内容，但</w:t>
      </w:r>
      <w:r>
        <w:rPr>
          <w:rFonts w:hint="eastAsia" w:ascii="宋体" w:hAnsi="宋体"/>
          <w:bCs/>
          <w:szCs w:val="21"/>
        </w:rPr>
        <w:t>乙方</w:t>
      </w:r>
      <w:r>
        <w:rPr>
          <w:rFonts w:ascii="宋体" w:hAnsi="宋体"/>
          <w:bCs/>
          <w:szCs w:val="21"/>
        </w:rPr>
        <w:t>提出的相关意见不得少于5条，否则在最终结算时按0.5万元/条</w:t>
      </w:r>
      <w:r>
        <w:rPr>
          <w:rFonts w:hint="eastAsia" w:ascii="宋体" w:hAnsi="宋体"/>
          <w:bCs/>
          <w:szCs w:val="21"/>
        </w:rPr>
        <w:t>从优化服务费中</w:t>
      </w:r>
      <w:r>
        <w:rPr>
          <w:rFonts w:ascii="宋体" w:hAnsi="宋体"/>
          <w:bCs/>
          <w:szCs w:val="21"/>
        </w:rPr>
        <w:t>扣除。</w:t>
      </w:r>
    </w:p>
    <w:p>
      <w:pPr>
        <w:spacing w:line="480" w:lineRule="atLeast"/>
        <w:rPr>
          <w:szCs w:val="21"/>
        </w:rPr>
      </w:pPr>
      <w:r>
        <w:rPr>
          <w:rFonts w:hint="eastAsia" w:ascii="宋体" w:hAnsi="宋体" w:cs="宋体"/>
          <w:szCs w:val="21"/>
        </w:rPr>
        <w:t>5.3 技术咨询</w:t>
      </w:r>
      <w:r>
        <w:rPr>
          <w:rFonts w:hint="eastAsia"/>
          <w:szCs w:val="21"/>
        </w:rPr>
        <w:t>费用的结算进度</w:t>
      </w:r>
    </w:p>
    <w:p>
      <w:pPr>
        <w:tabs>
          <w:tab w:val="left" w:pos="840"/>
        </w:tabs>
        <w:spacing w:line="480" w:lineRule="atLeast"/>
        <w:rPr>
          <w:rFonts w:ascii="宋体"/>
          <w:szCs w:val="21"/>
        </w:rPr>
      </w:pPr>
      <w:r>
        <w:rPr>
          <w:rFonts w:hint="eastAsia" w:ascii="宋体"/>
          <w:szCs w:val="21"/>
        </w:rPr>
        <w:t xml:space="preserve">5.3.1 </w:t>
      </w:r>
      <w:r>
        <w:rPr>
          <w:rFonts w:hint="eastAsia" w:ascii="宋体" w:hAnsi="宋体"/>
          <w:bCs/>
          <w:szCs w:val="21"/>
        </w:rPr>
        <w:t>乙方在收到甲方提供的结算图纸及施工中标单位报价清单后</w:t>
      </w:r>
      <w:r>
        <w:rPr>
          <w:rFonts w:hint="eastAsia" w:ascii="宋体"/>
          <w:szCs w:val="21"/>
          <w:u w:val="single"/>
        </w:rPr>
        <w:t xml:space="preserve"> 30日 </w:t>
      </w:r>
      <w:r>
        <w:rPr>
          <w:rFonts w:hint="eastAsia" w:ascii="宋体"/>
          <w:szCs w:val="21"/>
        </w:rPr>
        <w:t>内，乙方向甲方提供</w:t>
      </w:r>
      <w:r>
        <w:rPr>
          <w:rFonts w:hint="eastAsia" w:ascii="宋体" w:hAnsi="宋体"/>
          <w:bCs/>
          <w:szCs w:val="21"/>
        </w:rPr>
        <w:t>《</w:t>
      </w:r>
      <w:r>
        <w:rPr>
          <w:rFonts w:hint="eastAsia" w:ascii="华文细黑" w:hAnsi="华文细黑"/>
          <w:szCs w:val="21"/>
          <w:u w:val="single"/>
        </w:rPr>
        <w:t xml:space="preserve"> </w:t>
      </w:r>
      <w:r>
        <w:rPr>
          <w:rFonts w:hint="eastAsia" w:ascii="华文细黑" w:hAnsi="华文细黑"/>
          <w:szCs w:val="21"/>
          <w:u w:val="single"/>
          <w:lang w:val="en-US" w:eastAsia="zh-CN"/>
        </w:rPr>
        <w:t xml:space="preserve">  </w:t>
      </w:r>
      <w:r>
        <w:rPr>
          <w:rFonts w:hint="eastAsia" w:ascii="宋体" w:hAnsi="宋体" w:cs="宋体"/>
          <w:kern w:val="0"/>
          <w:szCs w:val="21"/>
          <w:u w:val="single"/>
          <w:lang w:eastAsia="zh-CN"/>
        </w:rPr>
        <w:t>通和沁园春晓</w:t>
      </w:r>
      <w:r>
        <w:rPr>
          <w:rFonts w:hint="eastAsia" w:ascii="宋体" w:hAnsi="宋体"/>
          <w:bCs/>
          <w:szCs w:val="21"/>
          <w:u w:val="single"/>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咨询结算报告》（含算量模型文件、算量软件为广联达）</w:t>
      </w:r>
    </w:p>
    <w:p>
      <w:pPr>
        <w:spacing w:line="400" w:lineRule="exact"/>
        <w:rPr>
          <w:rFonts w:ascii="宋体" w:hAnsi="宋体" w:eastAsia="宋体" w:cs="宋体"/>
          <w:color w:val="000000"/>
          <w:szCs w:val="21"/>
        </w:rPr>
      </w:pPr>
      <w:r>
        <w:rPr>
          <w:rFonts w:hint="eastAsia" w:ascii="宋体"/>
          <w:szCs w:val="21"/>
        </w:rPr>
        <w:t>5.</w:t>
      </w:r>
      <w:r>
        <w:rPr>
          <w:rFonts w:hint="eastAsia" w:ascii="宋体"/>
          <w:szCs w:val="21"/>
          <w:lang w:val="en-US" w:eastAsia="zh-CN"/>
        </w:rPr>
        <w:t>3</w:t>
      </w:r>
      <w:r>
        <w:rPr>
          <w:rFonts w:hint="eastAsia" w:ascii="宋体"/>
          <w:szCs w:val="21"/>
        </w:rPr>
        <w:t>.2 甲方在收到乙方提供的</w:t>
      </w:r>
      <w:r>
        <w:rPr>
          <w:rFonts w:hint="eastAsia" w:ascii="宋体" w:hAnsi="宋体"/>
          <w:bCs/>
          <w:szCs w:val="21"/>
        </w:rPr>
        <w:t>《</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cs="宋体"/>
          <w:kern w:val="0"/>
          <w:szCs w:val="21"/>
          <w:u w:val="single"/>
          <w:lang w:eastAsia="zh-CN"/>
        </w:rPr>
        <w:t>通和沁园春晓</w:t>
      </w:r>
      <w:r>
        <w:rPr>
          <w:rFonts w:hint="eastAsia" w:ascii="宋体" w:hAnsi="宋体"/>
          <w:bCs/>
          <w:szCs w:val="21"/>
          <w:u w:val="single"/>
          <w:lang w:val="en-US" w:eastAsia="zh-CN"/>
        </w:rPr>
        <w:t xml:space="preserve">  </w:t>
      </w:r>
      <w:r>
        <w:rPr>
          <w:rFonts w:hint="eastAsia" w:ascii="宋体" w:hAnsi="宋体"/>
          <w:bCs/>
          <w:szCs w:val="21"/>
        </w:rPr>
        <w:t>项目</w:t>
      </w:r>
      <w:r>
        <w:rPr>
          <w:rFonts w:hint="eastAsia" w:ascii="宋体" w:hAnsi="宋体"/>
          <w:bCs/>
          <w:szCs w:val="21"/>
          <w:lang w:eastAsia="zh-CN"/>
        </w:rPr>
        <w:t>优化</w:t>
      </w:r>
      <w:r>
        <w:rPr>
          <w:rFonts w:hint="eastAsia" w:ascii="宋体" w:hAnsi="宋体"/>
          <w:bCs/>
          <w:szCs w:val="21"/>
        </w:rPr>
        <w:t>咨询结算报告》后</w:t>
      </w:r>
      <w:r>
        <w:rPr>
          <w:rFonts w:hint="eastAsia" w:ascii="宋体"/>
          <w:szCs w:val="21"/>
          <w:u w:val="single"/>
        </w:rPr>
        <w:t xml:space="preserve"> 30日 </w:t>
      </w:r>
      <w:r>
        <w:rPr>
          <w:rFonts w:hint="eastAsia" w:ascii="宋体"/>
          <w:szCs w:val="21"/>
        </w:rPr>
        <w:t>内完成审核工作。根据审定的金额，参照5.2条约定，审定</w:t>
      </w:r>
      <w:r>
        <w:rPr>
          <w:rFonts w:hint="eastAsia" w:ascii="宋体" w:hAnsi="宋体" w:eastAsia="宋体" w:cs="宋体"/>
          <w:color w:val="000000"/>
          <w:szCs w:val="21"/>
        </w:rPr>
        <w:t>后</w:t>
      </w:r>
      <w:r>
        <w:rPr>
          <w:rFonts w:hint="eastAsia" w:ascii="宋体" w:hAnsi="宋体" w:eastAsia="宋体" w:cs="宋体"/>
          <w:color w:val="000000"/>
          <w:szCs w:val="21"/>
          <w:u w:val="single"/>
        </w:rPr>
        <w:t>10日</w:t>
      </w:r>
      <w:r>
        <w:rPr>
          <w:rFonts w:hint="eastAsia" w:ascii="宋体" w:hAnsi="宋体" w:eastAsia="宋体" w:cs="宋体"/>
          <w:color w:val="000000"/>
          <w:szCs w:val="21"/>
        </w:rPr>
        <w:t>内一次性支付乙方技术咨询费用。</w:t>
      </w:r>
      <w:r>
        <w:rPr>
          <w:rFonts w:hint="eastAsia" w:ascii="宋体" w:hAnsi="宋体" w:cs="宋体"/>
          <w:color w:val="000000"/>
          <w:szCs w:val="21"/>
        </w:rPr>
        <w:t>付款前，乙方必须交付符合税务部门要求的增值税专用等额发票，否则，甲方有权延迟付款。</w:t>
      </w:r>
    </w:p>
    <w:p>
      <w:pPr>
        <w:spacing w:line="480" w:lineRule="atLeast"/>
        <w:rPr>
          <w:rFonts w:ascii="宋体" w:hAnsi="宋体" w:cs="宋体"/>
          <w:b/>
          <w:bCs/>
          <w:szCs w:val="21"/>
        </w:rPr>
      </w:pPr>
      <w:r>
        <w:rPr>
          <w:rFonts w:hint="eastAsia" w:ascii="宋体" w:hAnsi="宋体" w:cs="宋体"/>
          <w:b/>
          <w:bCs/>
          <w:szCs w:val="21"/>
        </w:rPr>
        <w:t>第六章 双方权责</w:t>
      </w:r>
    </w:p>
    <w:p>
      <w:pPr>
        <w:spacing w:line="480" w:lineRule="atLeast"/>
        <w:rPr>
          <w:rFonts w:ascii="宋体" w:hAnsi="宋体" w:cs="宋体"/>
          <w:szCs w:val="21"/>
        </w:rPr>
      </w:pPr>
      <w:r>
        <w:rPr>
          <w:rFonts w:hint="eastAsia" w:ascii="宋体" w:hAnsi="宋体" w:cs="宋体"/>
          <w:szCs w:val="21"/>
        </w:rPr>
        <w:t>6.1 甲方权责</w:t>
      </w:r>
    </w:p>
    <w:p>
      <w:pPr>
        <w:spacing w:line="480" w:lineRule="atLeast"/>
        <w:rPr>
          <w:rFonts w:ascii="宋体" w:hAnsi="宋体" w:cs="宋体"/>
          <w:szCs w:val="21"/>
        </w:rPr>
      </w:pPr>
      <w:r>
        <w:rPr>
          <w:rFonts w:hint="eastAsia" w:ascii="宋体" w:hAnsi="宋体" w:cs="宋体"/>
          <w:szCs w:val="21"/>
        </w:rPr>
        <w:t>6.1.1甲方应书面授权乙方与施工图设计单位及图纸审查单位进行沟通。</w:t>
      </w:r>
    </w:p>
    <w:p>
      <w:pPr>
        <w:spacing w:line="480" w:lineRule="atLeast"/>
        <w:rPr>
          <w:rFonts w:ascii="宋体" w:hAnsi="宋体" w:cs="宋体"/>
          <w:szCs w:val="21"/>
        </w:rPr>
      </w:pPr>
      <w:r>
        <w:rPr>
          <w:rFonts w:hint="eastAsia" w:ascii="宋体" w:hAnsi="宋体" w:cs="宋体"/>
          <w:szCs w:val="21"/>
        </w:rPr>
        <w:t>6.1.2甲方须及时向乙方提供本项目技术咨询相关资料，包括建筑、结构专业的方案、初步设计及施工图电子版文件和原结构设计计算原始模型电子版，以便乙方顺利完成项目技术咨询工作。</w:t>
      </w:r>
    </w:p>
    <w:p>
      <w:pPr>
        <w:spacing w:line="480" w:lineRule="atLeast"/>
        <w:rPr>
          <w:rFonts w:ascii="宋体" w:hAnsi="宋体" w:cs="宋体"/>
          <w:szCs w:val="21"/>
        </w:rPr>
      </w:pPr>
      <w:r>
        <w:rPr>
          <w:rFonts w:hint="eastAsia" w:ascii="宋体" w:hAnsi="宋体" w:cs="宋体"/>
          <w:szCs w:val="21"/>
        </w:rPr>
        <w:t>6.1.3 甲方应及时向乙方提供本项目技术咨询前后的建筑方案、建筑及结构施工图以及技术咨询后施工图审查合格报告复印件作为结算图纸及结算资料。</w:t>
      </w:r>
    </w:p>
    <w:p>
      <w:pPr>
        <w:spacing w:line="480" w:lineRule="atLeast"/>
        <w:rPr>
          <w:rFonts w:ascii="宋体" w:hAnsi="宋体" w:cs="宋体"/>
          <w:szCs w:val="21"/>
        </w:rPr>
      </w:pPr>
      <w:r>
        <w:rPr>
          <w:rFonts w:hint="eastAsia" w:ascii="宋体" w:hAnsi="宋体" w:cs="宋体"/>
          <w:szCs w:val="21"/>
        </w:rPr>
        <w:t>6.1.4 甲方指定</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rPr>
        <w:t xml:space="preserve">  为  </w:t>
      </w:r>
      <w:r>
        <w:rPr>
          <w:rFonts w:hint="eastAsia" w:ascii="宋体" w:hAnsi="宋体" w:cs="宋体"/>
          <w:kern w:val="0"/>
          <w:szCs w:val="21"/>
          <w:u w:val="single"/>
          <w:lang w:eastAsia="zh-CN"/>
        </w:rPr>
        <w:t>通和沁园春晓</w:t>
      </w:r>
      <w:r>
        <w:rPr>
          <w:rFonts w:hint="eastAsia" w:ascii="宋体" w:hAnsi="宋体" w:cs="宋体"/>
          <w:szCs w:val="21"/>
          <w:lang w:val="en-US" w:eastAsia="zh-CN"/>
        </w:rPr>
        <w:t>图纸优化事项的对接人</w:t>
      </w:r>
      <w:r>
        <w:rPr>
          <w:rFonts w:hint="eastAsia" w:ascii="宋体" w:hAnsi="宋体" w:cs="宋体"/>
          <w:szCs w:val="21"/>
        </w:rPr>
        <w:t>代表甲方负责本项目的联系、技术咨询管理以及咨询成果和咨询前后资料的确认工作。甲方项目负责人联系电话：</w:t>
      </w:r>
      <w:r>
        <w:rPr>
          <w:rFonts w:hint="eastAsia" w:ascii="宋体" w:hAnsi="宋体" w:cs="宋体"/>
          <w:szCs w:val="21"/>
          <w:u w:val="single"/>
          <w:lang w:val="en-US" w:eastAsia="zh-CN"/>
        </w:rPr>
        <w:t xml:space="preserve">        </w:t>
      </w:r>
      <w:r>
        <w:rPr>
          <w:rFonts w:hint="eastAsia" w:ascii="宋体" w:hAnsi="宋体" w:cs="宋体"/>
          <w:szCs w:val="21"/>
        </w:rPr>
        <w:t>、电子邮箱：</w:t>
      </w:r>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w:t>
      </w:r>
    </w:p>
    <w:p>
      <w:pPr>
        <w:spacing w:line="480" w:lineRule="atLeast"/>
        <w:rPr>
          <w:rFonts w:ascii="宋体" w:hAnsi="宋体" w:cs="宋体"/>
          <w:szCs w:val="21"/>
        </w:rPr>
      </w:pPr>
      <w:r>
        <w:rPr>
          <w:rFonts w:hint="eastAsia" w:ascii="宋体" w:hAnsi="宋体" w:cs="宋体"/>
          <w:szCs w:val="21"/>
        </w:rPr>
        <w:t>6.2. 乙方权责</w:t>
      </w:r>
    </w:p>
    <w:p>
      <w:pPr>
        <w:spacing w:line="480" w:lineRule="atLeast"/>
        <w:rPr>
          <w:rFonts w:ascii="宋体" w:hAnsi="宋体" w:cs="宋体"/>
          <w:szCs w:val="21"/>
        </w:rPr>
      </w:pPr>
      <w:r>
        <w:rPr>
          <w:rFonts w:hint="eastAsia" w:ascii="宋体" w:hAnsi="宋体" w:cs="宋体"/>
          <w:szCs w:val="21"/>
        </w:rPr>
        <w:t>6.2.1 乙方应充分利用自己的专业能力、工程经验和广泛的国内外信息，对过程中的相关资料进行技术咨询指导，技术咨询后的图纸应符合有关使用功能、现行规范、安全及经济合理的要求。</w:t>
      </w:r>
    </w:p>
    <w:p>
      <w:pPr>
        <w:spacing w:line="440" w:lineRule="exact"/>
        <w:rPr>
          <w:rFonts w:ascii="宋体" w:hAnsi="宋体" w:cs="宋体"/>
          <w:szCs w:val="21"/>
        </w:rPr>
      </w:pPr>
      <w:r>
        <w:rPr>
          <w:rFonts w:hint="eastAsia" w:ascii="宋体" w:hAnsi="宋体" w:cs="宋体"/>
          <w:szCs w:val="21"/>
        </w:rPr>
        <w:t>6.2.2 乙方提供的技术咨询报告，须由乙方负责向原设计单位和审图单位进行解释、沟通，甲方提供协助。</w:t>
      </w:r>
    </w:p>
    <w:p>
      <w:pPr>
        <w:spacing w:line="440" w:lineRule="exact"/>
        <w:rPr>
          <w:rFonts w:ascii="宋体" w:hAnsi="宋体" w:cs="宋体"/>
          <w:szCs w:val="21"/>
        </w:rPr>
      </w:pPr>
      <w:r>
        <w:rPr>
          <w:rFonts w:hint="eastAsia" w:ascii="宋体" w:hAnsi="宋体" w:cs="宋体"/>
          <w:szCs w:val="21"/>
        </w:rPr>
        <w:t>6.2.3乙方对自己所提出的技术咨询报告应确保拥有完全的知识产权或技术使用权，否则由此引起的一切后果均由乙方全部承担。</w:t>
      </w:r>
    </w:p>
    <w:p>
      <w:pPr>
        <w:spacing w:line="440" w:lineRule="exact"/>
        <w:rPr>
          <w:rFonts w:ascii="宋体" w:hAnsi="宋体" w:cs="宋体"/>
          <w:szCs w:val="21"/>
        </w:rPr>
      </w:pPr>
      <w:r>
        <w:rPr>
          <w:rFonts w:hint="eastAsia" w:ascii="宋体" w:hAnsi="宋体" w:cs="宋体"/>
          <w:szCs w:val="21"/>
        </w:rPr>
        <w:t>6.2.4 乙方指定</w:t>
      </w:r>
      <w:r>
        <w:rPr>
          <w:rFonts w:hint="eastAsia" w:ascii="宋体" w:hAnsi="宋体" w:cs="宋体"/>
          <w:szCs w:val="21"/>
          <w:u w:val="single"/>
        </w:rPr>
        <w:t xml:space="preserve">       </w:t>
      </w:r>
      <w:r>
        <w:rPr>
          <w:rFonts w:hint="eastAsia" w:ascii="宋体" w:hAnsi="宋体" w:cs="宋体"/>
          <w:szCs w:val="21"/>
        </w:rPr>
        <w:t xml:space="preserve"> 为</w:t>
      </w:r>
      <w:r>
        <w:rPr>
          <w:rFonts w:hint="eastAsia" w:ascii="宋体" w:hAnsi="宋体" w:cs="宋体"/>
          <w:szCs w:val="21"/>
          <w:u w:val="single"/>
        </w:rPr>
        <w:t xml:space="preserve">  </w:t>
      </w:r>
      <w:r>
        <w:rPr>
          <w:rFonts w:hint="eastAsia" w:ascii="宋体" w:hAnsi="宋体" w:cs="宋体"/>
          <w:szCs w:val="21"/>
        </w:rPr>
        <w:t>项目负责人，代表乙方负责本项目的联系、技术咨询管理以及咨询成果和咨询前后资料的确认工作，负责与设计单位、审图机构的沟通、协助工作，直至技术咨询后的图纸经过审图公司审查。乙方项目负责人联系电话：</w:t>
      </w:r>
      <w:r>
        <w:rPr>
          <w:rFonts w:hint="eastAsia" w:ascii="宋体" w:hAnsi="宋体" w:cs="宋体"/>
          <w:szCs w:val="21"/>
          <w:u w:val="single"/>
        </w:rPr>
        <w:t xml:space="preserve">         </w:t>
      </w:r>
      <w:r>
        <w:rPr>
          <w:rFonts w:hint="eastAsia" w:ascii="宋体" w:hAnsi="宋体" w:cs="宋体"/>
          <w:szCs w:val="21"/>
        </w:rPr>
        <w:t>、电子邮箱：</w:t>
      </w:r>
      <w:r>
        <w:rPr>
          <w:rFonts w:hint="eastAsia" w:ascii="宋体" w:hAnsi="宋体" w:cs="宋体"/>
          <w:szCs w:val="21"/>
          <w:u w:val="single"/>
        </w:rPr>
        <w:t xml:space="preserve">            </w:t>
      </w:r>
      <w:r>
        <w:rPr>
          <w:rFonts w:hint="eastAsia" w:ascii="宋体" w:hAnsi="宋体" w:cs="宋体"/>
          <w:szCs w:val="21"/>
        </w:rPr>
        <w:t>。</w:t>
      </w:r>
    </w:p>
    <w:p>
      <w:pPr>
        <w:spacing w:line="480" w:lineRule="atLeast"/>
        <w:rPr>
          <w:rFonts w:ascii="宋体" w:hAnsi="宋体" w:cs="宋体"/>
          <w:szCs w:val="21"/>
        </w:rPr>
      </w:pPr>
      <w:r>
        <w:rPr>
          <w:rFonts w:hint="eastAsia" w:ascii="宋体"/>
          <w:b/>
          <w:bCs/>
          <w:szCs w:val="21"/>
        </w:rPr>
        <w:t xml:space="preserve">第七章  </w:t>
      </w:r>
      <w:r>
        <w:rPr>
          <w:rFonts w:hint="eastAsia" w:ascii="宋体" w:hAnsi="宋体" w:cs="宋体"/>
          <w:b/>
          <w:szCs w:val="21"/>
        </w:rPr>
        <w:t>违约责任和争议解决</w:t>
      </w:r>
    </w:p>
    <w:p>
      <w:pPr>
        <w:tabs>
          <w:tab w:val="left" w:pos="1140"/>
        </w:tabs>
        <w:spacing w:line="480" w:lineRule="atLeast"/>
        <w:rPr>
          <w:rFonts w:ascii="宋体" w:hAnsi="宋体" w:cs="宋体"/>
          <w:szCs w:val="21"/>
        </w:rPr>
      </w:pPr>
      <w:r>
        <w:rPr>
          <w:rFonts w:hint="eastAsia" w:ascii="宋体" w:hAnsi="宋体" w:cs="宋体"/>
          <w:szCs w:val="21"/>
        </w:rPr>
        <w:t>7.1违约责任</w:t>
      </w:r>
    </w:p>
    <w:p>
      <w:pPr>
        <w:tabs>
          <w:tab w:val="left" w:pos="780"/>
        </w:tabs>
        <w:spacing w:line="480" w:lineRule="atLeast"/>
        <w:rPr>
          <w:rFonts w:hint="eastAsia" w:ascii="宋体" w:hAnsi="宋体" w:cs="宋体"/>
          <w:color w:val="auto"/>
          <w:szCs w:val="21"/>
          <w:lang w:eastAsia="zh-CN"/>
        </w:rPr>
      </w:pPr>
      <w:r>
        <w:rPr>
          <w:rFonts w:hint="eastAsia" w:ascii="宋体" w:hAnsi="宋体" w:cs="宋体"/>
          <w:color w:val="auto"/>
          <w:szCs w:val="21"/>
          <w:lang w:val="en-US" w:eastAsia="zh-CN"/>
        </w:rPr>
        <w:t>7.1.1</w:t>
      </w:r>
      <w:r>
        <w:rPr>
          <w:rFonts w:hint="eastAsia" w:ascii="宋体" w:hAnsi="宋体" w:cs="宋体"/>
          <w:color w:val="auto"/>
          <w:szCs w:val="21"/>
        </w:rPr>
        <w:t>如果甲方</w:t>
      </w:r>
      <w:r>
        <w:rPr>
          <w:rFonts w:hint="eastAsia" w:ascii="宋体" w:hAnsi="宋体" w:cs="宋体"/>
          <w:color w:val="auto"/>
          <w:szCs w:val="21"/>
          <w:lang w:eastAsia="zh-CN"/>
        </w:rPr>
        <w:t>未按本合同约定给乙方的工作提供条件或未提交基础材料导致服务延误的，服务周期作相应延长。</w:t>
      </w:r>
    </w:p>
    <w:p>
      <w:pPr>
        <w:tabs>
          <w:tab w:val="left" w:pos="780"/>
        </w:tabs>
        <w:spacing w:line="480" w:lineRule="atLeast"/>
        <w:rPr>
          <w:rFonts w:hint="eastAsia" w:ascii="宋体" w:hAnsi="宋体" w:cs="宋体"/>
          <w:color w:val="auto"/>
          <w:szCs w:val="21"/>
        </w:rPr>
      </w:pPr>
      <w:r>
        <w:rPr>
          <w:rFonts w:hint="eastAsia" w:ascii="宋体" w:hAnsi="宋体" w:cs="宋体"/>
          <w:color w:val="auto"/>
          <w:szCs w:val="21"/>
          <w:lang w:val="en-US" w:eastAsia="zh-CN"/>
        </w:rPr>
        <w:t>7.1.2</w:t>
      </w:r>
      <w:r>
        <w:rPr>
          <w:rFonts w:hint="eastAsia" w:ascii="宋体" w:hAnsi="宋体" w:cs="宋体"/>
          <w:color w:val="auto"/>
          <w:szCs w:val="21"/>
        </w:rPr>
        <w:t>如果乙方</w:t>
      </w:r>
      <w:r>
        <w:rPr>
          <w:rFonts w:hint="eastAsia" w:ascii="宋体" w:hAnsi="宋体" w:cs="宋体"/>
          <w:color w:val="auto"/>
          <w:szCs w:val="21"/>
          <w:lang w:eastAsia="zh-CN"/>
        </w:rPr>
        <w:t>为按时递交成果文件的，每逾期交付一天向甲方支付</w:t>
      </w:r>
      <w:r>
        <w:rPr>
          <w:rFonts w:hint="eastAsia" w:ascii="宋体" w:hAnsi="宋体" w:cs="宋体"/>
          <w:color w:val="auto"/>
          <w:szCs w:val="21"/>
          <w:lang w:val="en-US" w:eastAsia="zh-CN"/>
        </w:rPr>
        <w:t>5000元/天的违约金；如乙方最终的成果文件导致未通过审图的，除无偿免费修改至通过图审止外，还应向甲方支付5000元违约金；乙方同意从最终服务费结算费用中一次性扣除。</w:t>
      </w:r>
    </w:p>
    <w:p>
      <w:pPr>
        <w:tabs>
          <w:tab w:val="left" w:pos="780"/>
        </w:tabs>
        <w:spacing w:line="480" w:lineRule="atLeast"/>
        <w:rPr>
          <w:rFonts w:ascii="宋体" w:hAnsi="宋体" w:cs="宋体"/>
          <w:color w:val="auto"/>
          <w:szCs w:val="21"/>
        </w:rPr>
      </w:pPr>
      <w:r>
        <w:rPr>
          <w:rFonts w:hint="eastAsia" w:ascii="宋体" w:hAnsi="宋体"/>
          <w:bCs/>
          <w:color w:val="auto"/>
          <w:szCs w:val="21"/>
          <w:u w:val="none"/>
          <w:lang w:val="en-US" w:eastAsia="zh-CN"/>
        </w:rPr>
        <w:t>7.1.3乙方对建筑专业优化提出的相关意见不得少于5条，否则在最终结算服务费时按0.5万元/条向甲方支付违约金。</w:t>
      </w:r>
    </w:p>
    <w:p>
      <w:pPr>
        <w:tabs>
          <w:tab w:val="left" w:pos="1140"/>
        </w:tabs>
        <w:spacing w:line="480" w:lineRule="atLeast"/>
        <w:rPr>
          <w:rFonts w:ascii="宋体" w:hAnsi="宋体" w:cs="宋体"/>
          <w:szCs w:val="21"/>
        </w:rPr>
      </w:pPr>
      <w:r>
        <w:rPr>
          <w:rFonts w:hint="eastAsia" w:ascii="宋体" w:hAnsi="宋体" w:cs="宋体"/>
          <w:szCs w:val="21"/>
        </w:rPr>
        <w:t>7.2争议解决</w:t>
      </w:r>
    </w:p>
    <w:p>
      <w:pPr>
        <w:tabs>
          <w:tab w:val="left" w:pos="840"/>
        </w:tabs>
        <w:spacing w:line="480" w:lineRule="atLeast"/>
        <w:rPr>
          <w:rFonts w:ascii="宋体" w:hAnsi="宋体" w:cs="宋体"/>
          <w:szCs w:val="21"/>
        </w:rPr>
      </w:pPr>
      <w:r>
        <w:rPr>
          <w:rFonts w:hint="eastAsia" w:ascii="宋体" w:hAnsi="宋体" w:cs="宋体"/>
          <w:szCs w:val="21"/>
        </w:rPr>
        <w:t>乙双方在履行合同时发生争议，可以协商解决，如协商不成可向合同签订地人民法院起诉。</w:t>
      </w:r>
    </w:p>
    <w:p>
      <w:pPr>
        <w:tabs>
          <w:tab w:val="left" w:pos="1380"/>
        </w:tabs>
        <w:spacing w:line="500" w:lineRule="atLeast"/>
        <w:rPr>
          <w:rFonts w:ascii="宋体"/>
          <w:b/>
          <w:bCs/>
          <w:szCs w:val="21"/>
        </w:rPr>
      </w:pPr>
      <w:r>
        <w:rPr>
          <w:rFonts w:hint="eastAsia" w:ascii="宋体"/>
          <w:b/>
          <w:bCs/>
          <w:szCs w:val="21"/>
        </w:rPr>
        <w:t>第八章</w:t>
      </w:r>
      <w:r>
        <w:rPr>
          <w:rFonts w:ascii="宋体"/>
          <w:b/>
          <w:bCs/>
          <w:szCs w:val="21"/>
        </w:rPr>
        <w:t xml:space="preserve">  </w:t>
      </w:r>
      <w:r>
        <w:rPr>
          <w:rFonts w:hint="eastAsia" w:ascii="宋体"/>
          <w:b/>
          <w:bCs/>
          <w:szCs w:val="21"/>
        </w:rPr>
        <w:t>附则部分</w:t>
      </w:r>
    </w:p>
    <w:p>
      <w:pPr>
        <w:tabs>
          <w:tab w:val="left" w:pos="640"/>
        </w:tabs>
        <w:spacing w:line="500" w:lineRule="atLeast"/>
        <w:rPr>
          <w:rFonts w:ascii="宋体"/>
          <w:szCs w:val="21"/>
        </w:rPr>
      </w:pPr>
      <w:r>
        <w:rPr>
          <w:rFonts w:hint="eastAsia" w:ascii="宋体"/>
          <w:szCs w:val="21"/>
        </w:rPr>
        <w:t>8.1在合同有效期内，双方必须遵守国家的法律、法规及当地有关政策的规定。</w:t>
      </w:r>
    </w:p>
    <w:p>
      <w:pPr>
        <w:tabs>
          <w:tab w:val="left" w:pos="640"/>
        </w:tabs>
        <w:spacing w:line="500" w:lineRule="atLeast"/>
        <w:rPr>
          <w:rFonts w:ascii="宋体"/>
          <w:bCs/>
          <w:szCs w:val="21"/>
        </w:rPr>
      </w:pPr>
      <w:r>
        <w:rPr>
          <w:rFonts w:hint="eastAsia" w:ascii="宋体"/>
          <w:szCs w:val="21"/>
        </w:rPr>
        <w:t>8.2本合同未尽事宜，双方协商同意可签订补充协议。本合同的任何修改、补充等均以书面完成并经双方授权代表签字并加盖公司公章后生效。生效的修改、补充为本合同不可分割的组成部分，与合同正本具有同等法律效力。</w:t>
      </w:r>
    </w:p>
    <w:p>
      <w:pPr>
        <w:tabs>
          <w:tab w:val="left" w:pos="640"/>
        </w:tabs>
        <w:spacing w:line="500" w:lineRule="atLeast"/>
        <w:rPr>
          <w:rFonts w:ascii="宋体"/>
          <w:bCs/>
          <w:szCs w:val="21"/>
        </w:rPr>
      </w:pPr>
      <w:r>
        <w:rPr>
          <w:rFonts w:hint="eastAsia" w:ascii="宋体" w:hAnsi="宋体"/>
          <w:bCs/>
          <w:szCs w:val="21"/>
        </w:rPr>
        <w:t>8.3甲乙双方公司地址</w:t>
      </w:r>
    </w:p>
    <w:p>
      <w:pPr>
        <w:pStyle w:val="5"/>
        <w:adjustRightInd w:val="0"/>
        <w:snapToGrid w:val="0"/>
        <w:spacing w:line="480" w:lineRule="atLeast"/>
        <w:rPr>
          <w:bCs/>
        </w:rPr>
      </w:pPr>
      <w:r>
        <w:rPr>
          <w:rFonts w:hint="eastAsia"/>
          <w:bCs/>
        </w:rPr>
        <w:t>甲方</w:t>
      </w:r>
      <w:r>
        <w:rPr>
          <w:bCs/>
        </w:rPr>
        <w:t>:</w:t>
      </w:r>
      <w:r>
        <w:rPr>
          <w:bCs/>
          <w:u w:val="single"/>
        </w:rPr>
        <w:t xml:space="preserve"> </w:t>
      </w:r>
      <w:r>
        <w:rPr>
          <w:rFonts w:hint="eastAsia"/>
          <w:bCs/>
          <w:u w:val="single"/>
        </w:rPr>
        <w:t xml:space="preserve"> </w:t>
      </w:r>
      <w:r>
        <w:rPr>
          <w:rFonts w:hint="eastAsia"/>
          <w:bCs/>
          <w:u w:val="single"/>
          <w:lang w:val="en-US" w:eastAsia="zh-CN"/>
        </w:rPr>
        <w:t xml:space="preserve">                                        </w:t>
      </w:r>
      <w:r>
        <w:rPr>
          <w:rFonts w:hint="eastAsia"/>
          <w:bCs/>
          <w:u w:val="single"/>
        </w:rPr>
        <w:t xml:space="preserve">  </w:t>
      </w:r>
    </w:p>
    <w:p>
      <w:pPr>
        <w:pStyle w:val="5"/>
        <w:adjustRightInd w:val="0"/>
        <w:snapToGrid w:val="0"/>
        <w:spacing w:line="480" w:lineRule="atLeast"/>
        <w:rPr>
          <w:rFonts w:hint="eastAsia"/>
          <w:bCs/>
          <w:u w:val="single"/>
        </w:rPr>
      </w:pPr>
      <w:r>
        <w:rPr>
          <w:rFonts w:hint="eastAsia"/>
          <w:bCs/>
        </w:rPr>
        <w:t>乙方</w:t>
      </w:r>
      <w:r>
        <w:rPr>
          <w:bCs/>
        </w:rPr>
        <w:t>:</w:t>
      </w:r>
      <w:r>
        <w:rPr>
          <w:rFonts w:hint="eastAsia"/>
          <w:bCs/>
          <w:u w:val="single"/>
        </w:rPr>
        <w:t xml:space="preserve">                     </w:t>
      </w:r>
      <w:r>
        <w:rPr>
          <w:rFonts w:hint="eastAsia"/>
          <w:bCs/>
          <w:u w:val="single"/>
          <w:lang w:val="en-US" w:eastAsia="zh-CN"/>
        </w:rPr>
        <w:t xml:space="preserve">                  </w:t>
      </w:r>
      <w:r>
        <w:rPr>
          <w:rFonts w:hint="eastAsia"/>
          <w:bCs/>
          <w:u w:val="single"/>
        </w:rPr>
        <w:t xml:space="preserve">       </w:t>
      </w:r>
    </w:p>
    <w:p>
      <w:pPr>
        <w:pStyle w:val="5"/>
        <w:adjustRightInd w:val="0"/>
        <w:snapToGrid w:val="0"/>
        <w:spacing w:line="480" w:lineRule="atLeast"/>
      </w:pPr>
      <w:r>
        <w:rPr>
          <w:rFonts w:hint="eastAsia"/>
        </w:rPr>
        <w:t>任何一方按本合同书确认的地址以特快专递方式向对方送达书面材料的，邮件一经合法寄出则视为送达</w:t>
      </w:r>
      <w:r>
        <w:t>,</w:t>
      </w:r>
      <w:r>
        <w:rPr>
          <w:rFonts w:hint="eastAsia"/>
        </w:rPr>
        <w:t>对方是否签收与邮寄方无关。但在本合同书履行过程中任何一方送达地址有变更的，应以书面形式通知对方，该书面通知应以对方签收为准，经对方签收后以新送达地址为准</w:t>
      </w:r>
      <w:r>
        <w:t>.</w:t>
      </w:r>
    </w:p>
    <w:p>
      <w:pPr>
        <w:tabs>
          <w:tab w:val="left" w:pos="990"/>
        </w:tabs>
        <w:spacing w:line="500" w:lineRule="atLeast"/>
        <w:rPr>
          <w:rFonts w:ascii="宋体"/>
          <w:szCs w:val="21"/>
        </w:rPr>
      </w:pPr>
      <w:r>
        <w:rPr>
          <w:rFonts w:hint="eastAsia" w:ascii="宋体"/>
          <w:szCs w:val="21"/>
        </w:rPr>
        <w:t>8.4本合同一式六份，甲、乙双方各执三份，经双方签字盖章后生效。</w:t>
      </w:r>
    </w:p>
    <w:p>
      <w:pPr>
        <w:spacing w:line="500" w:lineRule="atLeast"/>
        <w:rPr>
          <w:rFonts w:ascii="宋体"/>
          <w:szCs w:val="21"/>
        </w:rPr>
      </w:pPr>
      <w:r>
        <w:rPr>
          <w:rFonts w:hint="eastAsia" w:ascii="宋体"/>
          <w:szCs w:val="21"/>
        </w:rPr>
        <w:t>附件一：结构成本</w:t>
      </w:r>
      <w:r>
        <w:rPr>
          <w:rFonts w:hint="eastAsia" w:ascii="隶书" w:hAnsi="宋体"/>
          <w:szCs w:val="21"/>
        </w:rPr>
        <w:t>指标一览表</w:t>
      </w:r>
      <w:r>
        <w:rPr>
          <w:rFonts w:hint="eastAsia" w:ascii="宋体" w:hAnsi="宋体"/>
          <w:szCs w:val="21"/>
        </w:rPr>
        <w:t>（此后无正文）</w:t>
      </w:r>
    </w:p>
    <w:p>
      <w:pPr>
        <w:spacing w:line="480" w:lineRule="atLeast"/>
        <w:rPr>
          <w:rFonts w:ascii="宋体"/>
          <w:szCs w:val="21"/>
        </w:rPr>
      </w:pPr>
      <w:r>
        <w:rPr>
          <w:rFonts w:hint="eastAsia" w:ascii="宋体"/>
          <w:szCs w:val="21"/>
        </w:rPr>
        <w:t xml:space="preserve">       甲方（盖章）：</w:t>
      </w:r>
      <w:r>
        <w:rPr>
          <w:rFonts w:ascii="宋体"/>
          <w:szCs w:val="21"/>
        </w:rPr>
        <w:t xml:space="preserve">                       </w:t>
      </w:r>
      <w:r>
        <w:rPr>
          <w:rFonts w:hint="eastAsia" w:ascii="宋体"/>
          <w:szCs w:val="21"/>
        </w:rPr>
        <w:t xml:space="preserve">         乙方（盖章）：</w:t>
      </w:r>
    </w:p>
    <w:p>
      <w:pPr>
        <w:spacing w:line="480" w:lineRule="atLeast"/>
        <w:rPr>
          <w:rFonts w:ascii="宋体"/>
          <w:szCs w:val="21"/>
        </w:rPr>
      </w:pPr>
      <w:r>
        <w:rPr>
          <w:rFonts w:hint="eastAsia" w:ascii="宋体"/>
          <w:szCs w:val="21"/>
        </w:rPr>
        <w:t xml:space="preserve">       法人代表：                                   法人代表：      </w:t>
      </w:r>
    </w:p>
    <w:p>
      <w:pPr>
        <w:spacing w:line="480" w:lineRule="atLeast"/>
        <w:rPr>
          <w:rFonts w:ascii="宋体"/>
          <w:szCs w:val="21"/>
        </w:rPr>
      </w:pPr>
      <w:r>
        <w:rPr>
          <w:rFonts w:hint="eastAsia" w:ascii="宋体"/>
          <w:szCs w:val="21"/>
        </w:rPr>
        <w:t xml:space="preserve">       授权代理人：                                 授权代理人：</w:t>
      </w:r>
    </w:p>
    <w:p>
      <w:pPr>
        <w:spacing w:before="156" w:beforeLines="50" w:after="156" w:afterLines="50" w:line="360" w:lineRule="auto"/>
        <w:rPr>
          <w:rFonts w:ascii="宋体"/>
          <w:szCs w:val="21"/>
        </w:rPr>
      </w:pPr>
      <w:r>
        <w:rPr>
          <w:rFonts w:hint="eastAsia" w:ascii="宋体"/>
          <w:szCs w:val="21"/>
        </w:rPr>
        <w:t xml:space="preserve">       日    期：                                   日    期 ：    </w:t>
      </w: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spacing w:before="156" w:beforeLines="50" w:after="156" w:afterLines="50" w:line="360" w:lineRule="auto"/>
        <w:rPr>
          <w:rFonts w:ascii="宋体"/>
          <w:szCs w:val="21"/>
        </w:rPr>
      </w:pPr>
    </w:p>
    <w:p>
      <w:pPr>
        <w:pStyle w:val="5"/>
        <w:adjustRightInd w:val="0"/>
        <w:snapToGrid w:val="0"/>
        <w:spacing w:line="480" w:lineRule="exact"/>
        <w:rPr>
          <w:rFonts w:hAnsi="宋体" w:cs="Arial"/>
          <w:color w:val="000000"/>
          <w:sz w:val="24"/>
        </w:rPr>
      </w:pPr>
      <w:r>
        <w:rPr>
          <w:rFonts w:hint="eastAsia" w:hAnsi="宋体" w:cs="Arial"/>
          <w:color w:val="000000"/>
          <w:sz w:val="24"/>
        </w:rPr>
        <w:t>附件一：</w:t>
      </w:r>
    </w:p>
    <w:p>
      <w:pPr>
        <w:pStyle w:val="5"/>
        <w:adjustRightInd w:val="0"/>
        <w:snapToGrid w:val="0"/>
        <w:spacing w:line="480" w:lineRule="exact"/>
        <w:jc w:val="center"/>
        <w:rPr>
          <w:rFonts w:hAnsi="宋体" w:cs="宋体"/>
          <w:color w:val="000000"/>
          <w:kern w:val="0"/>
          <w:sz w:val="32"/>
          <w:szCs w:val="32"/>
          <w:u w:val="single"/>
        </w:rPr>
      </w:pPr>
      <w:r>
        <w:rPr>
          <w:rFonts w:hint="eastAsia" w:ascii="宋体" w:hAnsi="宋体" w:cs="宋体"/>
          <w:color w:val="000000"/>
          <w:kern w:val="0"/>
          <w:sz w:val="32"/>
          <w:szCs w:val="32"/>
          <w:u w:val="single"/>
          <w:lang w:val="en-US" w:eastAsia="zh-CN"/>
        </w:rPr>
        <w:t>通和沁园春晓</w:t>
      </w:r>
      <w:r>
        <w:rPr>
          <w:rFonts w:hint="eastAsia" w:hAnsi="宋体" w:cs="宋体"/>
          <w:color w:val="000000"/>
          <w:kern w:val="0"/>
          <w:sz w:val="32"/>
          <w:szCs w:val="32"/>
          <w:u w:val="single"/>
          <w:lang w:val="en-US" w:eastAsia="zh-CN"/>
        </w:rPr>
        <w:t>项目</w:t>
      </w:r>
      <w:r>
        <w:rPr>
          <w:rFonts w:hint="eastAsia" w:ascii="宋体" w:hAnsi="宋体" w:cs="宋体"/>
          <w:color w:val="000000"/>
          <w:kern w:val="0"/>
          <w:sz w:val="32"/>
          <w:szCs w:val="32"/>
          <w:u w:val="single"/>
        </w:rPr>
        <w:t xml:space="preserve"> 结</w:t>
      </w:r>
      <w:r>
        <w:rPr>
          <w:rFonts w:hint="eastAsia" w:hAnsi="宋体" w:cs="宋体"/>
          <w:color w:val="000000"/>
          <w:kern w:val="0"/>
          <w:sz w:val="32"/>
          <w:szCs w:val="32"/>
          <w:u w:val="single"/>
        </w:rPr>
        <w:t>构成本指标一览表</w:t>
      </w:r>
    </w:p>
    <w:p>
      <w:pPr>
        <w:pStyle w:val="5"/>
        <w:adjustRightInd w:val="0"/>
        <w:snapToGrid w:val="0"/>
        <w:spacing w:line="480" w:lineRule="exact"/>
        <w:jc w:val="center"/>
        <w:rPr>
          <w:rFonts w:hAnsi="宋体" w:cs="宋体"/>
          <w:color w:val="000000"/>
          <w:kern w:val="0"/>
          <w:sz w:val="32"/>
          <w:szCs w:val="32"/>
          <w:u w:val="single"/>
        </w:rPr>
      </w:pPr>
    </w:p>
    <w:tbl>
      <w:tblPr>
        <w:tblStyle w:val="11"/>
        <w:tblpPr w:leftFromText="180" w:rightFromText="180" w:vertAnchor="text" w:horzAnchor="page" w:tblpX="1755" w:tblpY="74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722"/>
        <w:gridCol w:w="1337"/>
        <w:gridCol w:w="822"/>
        <w:gridCol w:w="821"/>
        <w:gridCol w:w="936"/>
        <w:gridCol w:w="978"/>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8522" w:type="dxa"/>
            <w:gridSpan w:val="8"/>
            <w:tcBorders>
              <w:tl2br w:val="nil"/>
              <w:tr2bl w:val="nil"/>
            </w:tcBorders>
            <w:vAlign w:val="center"/>
          </w:tcPr>
          <w:p>
            <w:pPr>
              <w:widowControl/>
              <w:jc w:val="center"/>
              <w:rPr>
                <w:rFonts w:ascii="宋体" w:hAnsi="宋体" w:cs="宋体"/>
                <w:color w:val="000000"/>
                <w:kern w:val="0"/>
                <w:sz w:val="32"/>
                <w:szCs w:val="32"/>
                <w:u w:val="single"/>
              </w:rPr>
            </w:pPr>
            <w:r>
              <w:rPr>
                <w:rFonts w:hint="eastAsia" w:ascii="宋体" w:hAnsi="宋体" w:cs="宋体"/>
                <w:color w:val="000000"/>
                <w:kern w:val="0"/>
                <w:sz w:val="32"/>
                <w:szCs w:val="32"/>
                <w:u w:val="single"/>
                <w:lang w:val="en-US" w:eastAsia="zh-CN"/>
              </w:rPr>
              <w:t>通和沁园春晓项目</w:t>
            </w:r>
            <w:r>
              <w:rPr>
                <w:rFonts w:hint="eastAsia" w:ascii="宋体" w:hAnsi="宋体" w:cs="宋体"/>
                <w:color w:val="000000"/>
                <w:kern w:val="0"/>
                <w:sz w:val="32"/>
                <w:szCs w:val="32"/>
                <w:u w:val="single"/>
              </w:rPr>
              <w:t>结构成本指标一览表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881"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类型</w:t>
            </w:r>
          </w:p>
        </w:tc>
        <w:tc>
          <w:tcPr>
            <w:tcW w:w="722"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层数</w:t>
            </w:r>
          </w:p>
        </w:tc>
        <w:tc>
          <w:tcPr>
            <w:tcW w:w="1337" w:type="dxa"/>
            <w:vMerge w:val="restart"/>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各部分</w:t>
            </w:r>
          </w:p>
        </w:tc>
        <w:tc>
          <w:tcPr>
            <w:tcW w:w="1643"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钢筋含量成本指标(kg/m2)</w:t>
            </w:r>
          </w:p>
          <w:p>
            <w:pPr>
              <w:widowControl/>
              <w:jc w:val="center"/>
              <w:rPr>
                <w:rFonts w:ascii="宋体" w:hAnsi="宋体" w:cs="宋体"/>
                <w:b/>
                <w:bCs/>
                <w:color w:val="000000"/>
                <w:kern w:val="0"/>
                <w:sz w:val="20"/>
                <w:szCs w:val="20"/>
              </w:rPr>
            </w:pPr>
          </w:p>
        </w:tc>
        <w:tc>
          <w:tcPr>
            <w:tcW w:w="1914" w:type="dxa"/>
            <w:gridSpan w:val="2"/>
            <w:tcBorders>
              <w:tl2br w:val="nil"/>
              <w:tr2bl w:val="nil"/>
            </w:tcBorders>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混凝土含量成本指标 (m3/m2)</w:t>
            </w:r>
          </w:p>
          <w:p>
            <w:pPr>
              <w:widowControl/>
              <w:jc w:val="center"/>
              <w:rPr>
                <w:rFonts w:ascii="宋体" w:hAnsi="宋体" w:cs="宋体"/>
                <w:b/>
                <w:bCs/>
                <w:color w:val="000000"/>
                <w:kern w:val="0"/>
                <w:sz w:val="20"/>
                <w:szCs w:val="20"/>
              </w:rPr>
            </w:pPr>
          </w:p>
        </w:tc>
        <w:tc>
          <w:tcPr>
            <w:tcW w:w="2025" w:type="dxa"/>
            <w:vMerge w:val="restart"/>
            <w:tcBorders>
              <w:tl2br w:val="nil"/>
              <w:tr2bl w:val="nil"/>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trPr>
        <w:tc>
          <w:tcPr>
            <w:tcW w:w="881" w:type="dxa"/>
            <w:vMerge w:val="continue"/>
            <w:tcBorders>
              <w:tl2br w:val="nil"/>
              <w:tr2bl w:val="nil"/>
            </w:tcBorders>
            <w:vAlign w:val="center"/>
          </w:tcPr>
          <w:p>
            <w:pPr>
              <w:widowControl/>
              <w:jc w:val="center"/>
              <w:rPr>
                <w:color w:val="000000"/>
                <w:kern w:val="0"/>
                <w:szCs w:val="21"/>
              </w:rPr>
            </w:pPr>
          </w:p>
        </w:tc>
        <w:tc>
          <w:tcPr>
            <w:tcW w:w="722" w:type="dxa"/>
            <w:vMerge w:val="continue"/>
            <w:tcBorders>
              <w:tl2br w:val="nil"/>
              <w:tr2bl w:val="nil"/>
            </w:tcBorders>
            <w:vAlign w:val="center"/>
          </w:tcPr>
          <w:p>
            <w:pPr>
              <w:widowControl/>
              <w:jc w:val="center"/>
              <w:rPr>
                <w:color w:val="000000"/>
                <w:kern w:val="0"/>
                <w:sz w:val="20"/>
                <w:szCs w:val="20"/>
              </w:rPr>
            </w:pPr>
          </w:p>
        </w:tc>
        <w:tc>
          <w:tcPr>
            <w:tcW w:w="1337" w:type="dxa"/>
            <w:vMerge w:val="continue"/>
            <w:tcBorders>
              <w:tl2br w:val="nil"/>
              <w:tr2bl w:val="nil"/>
            </w:tcBorders>
            <w:vAlign w:val="center"/>
          </w:tcPr>
          <w:p>
            <w:pPr>
              <w:widowControl/>
              <w:jc w:val="center"/>
              <w:rPr>
                <w:rFonts w:ascii="宋体" w:hAnsi="宋体"/>
                <w:color w:val="000000"/>
                <w:kern w:val="0"/>
                <w:sz w:val="20"/>
                <w:szCs w:val="20"/>
              </w:rPr>
            </w:pPr>
          </w:p>
        </w:tc>
        <w:tc>
          <w:tcPr>
            <w:tcW w:w="822"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821"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936"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设计指标</w:t>
            </w:r>
          </w:p>
        </w:tc>
        <w:tc>
          <w:tcPr>
            <w:tcW w:w="978" w:type="dxa"/>
            <w:tcBorders>
              <w:tl2br w:val="nil"/>
              <w:tr2bl w:val="nil"/>
            </w:tcBorders>
            <w:vAlign w:val="center"/>
          </w:tcPr>
          <w:p>
            <w:pPr>
              <w:widowControl/>
              <w:jc w:val="center"/>
              <w:rPr>
                <w:rFonts w:ascii="宋体" w:hAnsi="宋体" w:cs="宋体"/>
                <w:kern w:val="0"/>
                <w:szCs w:val="21"/>
              </w:rPr>
            </w:pPr>
            <w:r>
              <w:rPr>
                <w:rFonts w:hint="eastAsia" w:ascii="宋体" w:hAnsi="宋体" w:cs="宋体"/>
                <w:kern w:val="0"/>
                <w:szCs w:val="21"/>
              </w:rPr>
              <w:t>成本核算指标</w:t>
            </w:r>
          </w:p>
        </w:tc>
        <w:tc>
          <w:tcPr>
            <w:tcW w:w="2025" w:type="dxa"/>
            <w:vMerge w:val="continue"/>
            <w:tcBorders>
              <w:tl2br w:val="nil"/>
              <w:tr2bl w:val="nil"/>
            </w:tcBorders>
            <w:vAlign w:val="center"/>
          </w:tcPr>
          <w:p>
            <w:pPr>
              <w:widowControl/>
              <w:jc w:val="center"/>
              <w:rPr>
                <w:rFonts w:ascii="宋体" w:hAnsi="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1" w:hRule="atLeast"/>
        </w:trPr>
        <w:tc>
          <w:tcPr>
            <w:tcW w:w="881" w:type="dxa"/>
            <w:tcBorders>
              <w:tl2br w:val="nil"/>
              <w:tr2bl w:val="nil"/>
            </w:tcBorders>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w:t>
            </w:r>
          </w:p>
        </w:tc>
        <w:tc>
          <w:tcPr>
            <w:tcW w:w="722" w:type="dxa"/>
            <w:tcBorders>
              <w:tl2br w:val="nil"/>
              <w:tr2bl w:val="nil"/>
            </w:tcBorders>
            <w:vAlign w:val="center"/>
          </w:tcPr>
          <w:p>
            <w:pPr>
              <w:widowControl/>
              <w:jc w:val="center"/>
              <w:rPr>
                <w:rFonts w:hint="default" w:eastAsia="宋体"/>
                <w:color w:val="000000"/>
                <w:kern w:val="0"/>
                <w:sz w:val="20"/>
                <w:szCs w:val="20"/>
                <w:lang w:val="en-US" w:eastAsia="zh-CN"/>
              </w:rPr>
            </w:pPr>
            <w:r>
              <w:rPr>
                <w:rFonts w:hint="eastAsia"/>
                <w:color w:val="000000"/>
                <w:kern w:val="0"/>
                <w:sz w:val="20"/>
                <w:szCs w:val="20"/>
                <w:lang w:val="en-US" w:eastAsia="zh-CN"/>
              </w:rPr>
              <w:t>--</w:t>
            </w:r>
          </w:p>
        </w:tc>
        <w:tc>
          <w:tcPr>
            <w:tcW w:w="1337" w:type="dxa"/>
            <w:tcBorders>
              <w:tl2br w:val="nil"/>
              <w:tr2bl w:val="nil"/>
            </w:tcBorders>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w:t>
            </w:r>
          </w:p>
        </w:tc>
        <w:tc>
          <w:tcPr>
            <w:tcW w:w="821" w:type="dxa"/>
            <w:tcBorders>
              <w:tl2br w:val="nil"/>
              <w:tr2bl w:val="nil"/>
            </w:tcBorders>
            <w:vAlign w:val="center"/>
          </w:tcPr>
          <w:p>
            <w:pPr>
              <w:widowControl/>
              <w:jc w:val="center"/>
              <w:rPr>
                <w:rFonts w:hint="default" w:ascii="宋体" w:hAnsi="宋体" w:eastAsia="宋体" w:cs="宋体"/>
                <w:color w:val="FF0000"/>
                <w:kern w:val="0"/>
                <w:szCs w:val="21"/>
                <w:lang w:val="en-US" w:eastAsia="zh-CN"/>
              </w:rPr>
            </w:pPr>
            <w:r>
              <w:rPr>
                <w:rFonts w:hint="eastAsia" w:ascii="宋体" w:hAnsi="宋体" w:cs="宋体"/>
                <w:color w:val="FF0000"/>
                <w:kern w:val="0"/>
                <w:szCs w:val="21"/>
                <w:lang w:val="en-US" w:eastAsia="zh-CN"/>
              </w:rPr>
              <w:t>--</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w:t>
            </w:r>
          </w:p>
        </w:tc>
        <w:tc>
          <w:tcPr>
            <w:tcW w:w="978"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w:t>
            </w:r>
          </w:p>
        </w:tc>
        <w:tc>
          <w:tcPr>
            <w:tcW w:w="2025" w:type="dxa"/>
            <w:vMerge w:val="restart"/>
            <w:tcBorders>
              <w:tl2br w:val="nil"/>
              <w:tr2bl w:val="nil"/>
            </w:tcBorders>
            <w:vAlign w:val="center"/>
          </w:tcPr>
          <w:p>
            <w:pPr>
              <w:widowControl/>
              <w:rPr>
                <w:rFonts w:ascii="宋体" w:hAnsi="宋体" w:eastAsia="宋体" w:cs="宋体"/>
                <w:bCs/>
                <w:sz w:val="20"/>
                <w:szCs w:val="20"/>
              </w:rPr>
            </w:pPr>
            <w:r>
              <w:rPr>
                <w:rFonts w:hint="eastAsia" w:ascii="宋体" w:hAnsi="宋体" w:eastAsia="宋体" w:cs="宋体"/>
                <w:bCs/>
                <w:sz w:val="20"/>
                <w:szCs w:val="20"/>
              </w:rPr>
              <w:t>1、计算面积采用结构面积；</w:t>
            </w:r>
          </w:p>
          <w:p>
            <w:pPr>
              <w:widowControl/>
              <w:rPr>
                <w:rFonts w:ascii="宋体" w:hAnsi="宋体" w:eastAsia="宋体" w:cs="宋体"/>
                <w:bCs/>
                <w:sz w:val="20"/>
                <w:szCs w:val="20"/>
              </w:rPr>
            </w:pPr>
            <w:r>
              <w:rPr>
                <w:rFonts w:hint="eastAsia" w:ascii="宋体" w:hAnsi="宋体" w:eastAsia="宋体" w:cs="宋体"/>
                <w:bCs/>
                <w:sz w:val="20"/>
                <w:szCs w:val="20"/>
              </w:rPr>
              <w:t>2、实际钢筋及混凝土量不含二次结构、钢结构、桩基础、措施钢筋、建筑做法钢筋</w:t>
            </w:r>
            <w:r>
              <w:rPr>
                <w:rFonts w:hint="eastAsia" w:ascii="宋体" w:hAnsi="宋体" w:cs="宋体"/>
                <w:bCs/>
                <w:sz w:val="20"/>
                <w:szCs w:val="20"/>
              </w:rPr>
              <w:t>混凝土</w:t>
            </w:r>
            <w:r>
              <w:rPr>
                <w:rFonts w:hint="eastAsia" w:ascii="宋体" w:hAnsi="宋体" w:eastAsia="宋体" w:cs="宋体"/>
                <w:bCs/>
                <w:sz w:val="20"/>
                <w:szCs w:val="20"/>
              </w:rPr>
              <w:t>、垫层等；</w:t>
            </w:r>
          </w:p>
          <w:p>
            <w:pPr>
              <w:widowControl/>
              <w:rPr>
                <w:rFonts w:ascii="宋体" w:hAnsi="宋体" w:eastAsia="宋体" w:cs="宋体"/>
                <w:kern w:val="0"/>
                <w:sz w:val="20"/>
                <w:szCs w:val="20"/>
              </w:rPr>
            </w:pPr>
            <w:r>
              <w:rPr>
                <w:rFonts w:hint="eastAsia" w:ascii="宋体" w:hAnsi="宋体" w:eastAsia="宋体" w:cs="宋体"/>
                <w:bCs/>
                <w:sz w:val="20"/>
                <w:szCs w:val="20"/>
              </w:rPr>
              <w:t>3、</w:t>
            </w:r>
            <w:r>
              <w:rPr>
                <w:rFonts w:hint="eastAsia" w:ascii="宋体" w:hAnsi="宋体" w:eastAsia="宋体" w:cs="宋体"/>
                <w:kern w:val="0"/>
                <w:sz w:val="20"/>
                <w:szCs w:val="20"/>
              </w:rPr>
              <w:t>人防部分指标为6级人防指标，若人防指标为5级，则人防指标增加30kg/m2；</w:t>
            </w:r>
          </w:p>
          <w:p>
            <w:pPr>
              <w:widowControl/>
              <w:jc w:val="left"/>
              <w:rPr>
                <w:color w:val="000000"/>
                <w:kern w:val="0"/>
                <w:sz w:val="20"/>
                <w:szCs w:val="20"/>
              </w:rPr>
            </w:pPr>
            <w:r>
              <w:rPr>
                <w:rFonts w:hint="eastAsia" w:ascii="宋体" w:hAnsi="宋体" w:eastAsia="宋体" w:cs="宋体"/>
                <w:kern w:val="0"/>
                <w:sz w:val="20"/>
                <w:szCs w:val="20"/>
              </w:rPr>
              <w:t>4、住宅部分的钢筋含量按照层高2.9米为基准，层高每增加0.1m</w:t>
            </w:r>
            <w:r>
              <w:rPr>
                <w:rFonts w:hint="eastAsia" w:ascii="宋体" w:hAnsi="宋体" w:eastAsia="宋体" w:cs="宋体"/>
                <w:color w:val="000000"/>
                <w:kern w:val="0"/>
                <w:sz w:val="20"/>
                <w:szCs w:val="20"/>
              </w:rPr>
              <w:t>，含钢量限额可增加1kg/m2。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trPr>
        <w:tc>
          <w:tcPr>
            <w:tcW w:w="881" w:type="dxa"/>
            <w:tcBorders>
              <w:tl2br w:val="nil"/>
              <w:tr2bl w:val="nil"/>
            </w:tcBorders>
            <w:vAlign w:val="center"/>
          </w:tcPr>
          <w:p>
            <w:pPr>
              <w:widowControl/>
              <w:jc w:val="center"/>
              <w:rPr>
                <w:color w:val="000000"/>
                <w:kern w:val="0"/>
                <w:szCs w:val="21"/>
              </w:rPr>
            </w:pPr>
            <w:r>
              <w:rPr>
                <w:rFonts w:hint="eastAsia"/>
                <w:color w:val="000000"/>
                <w:kern w:val="0"/>
                <w:szCs w:val="21"/>
              </w:rPr>
              <w:t>普通住宅高层</w:t>
            </w:r>
          </w:p>
        </w:tc>
        <w:tc>
          <w:tcPr>
            <w:tcW w:w="722" w:type="dxa"/>
            <w:tcBorders>
              <w:tl2br w:val="nil"/>
              <w:tr2bl w:val="nil"/>
            </w:tcBorders>
            <w:vAlign w:val="center"/>
          </w:tcPr>
          <w:p>
            <w:pPr>
              <w:widowControl/>
              <w:jc w:val="center"/>
              <w:rPr>
                <w:color w:val="000000"/>
                <w:kern w:val="0"/>
                <w:sz w:val="20"/>
                <w:szCs w:val="20"/>
              </w:rPr>
            </w:pPr>
            <w:r>
              <w:rPr>
                <w:rFonts w:hint="eastAsia"/>
                <w:color w:val="000000"/>
                <w:kern w:val="0"/>
                <w:sz w:val="20"/>
                <w:szCs w:val="20"/>
              </w:rPr>
              <w:t>8-18层</w:t>
            </w:r>
          </w:p>
        </w:tc>
        <w:tc>
          <w:tcPr>
            <w:tcW w:w="1337" w:type="dxa"/>
            <w:tcBorders>
              <w:tl2br w:val="nil"/>
              <w:tr2bl w:val="nil"/>
            </w:tcBorders>
            <w:vAlign w:val="center"/>
          </w:tcPr>
          <w:p>
            <w:pPr>
              <w:widowControl/>
              <w:jc w:val="center"/>
              <w:rPr>
                <w:rFonts w:ascii="宋体" w:hAnsi="宋体" w:cs="宋体"/>
                <w:color w:val="000000"/>
                <w:kern w:val="0"/>
                <w:sz w:val="20"/>
                <w:szCs w:val="20"/>
              </w:rPr>
            </w:pPr>
            <w:r>
              <w:rPr>
                <w:rFonts w:hint="eastAsia" w:ascii="宋体" w:hAnsi="宋体"/>
                <w:color w:val="000000"/>
                <w:kern w:val="0"/>
                <w:sz w:val="20"/>
                <w:szCs w:val="20"/>
              </w:rPr>
              <w:t>±0.000及以上</w:t>
            </w:r>
          </w:p>
        </w:tc>
        <w:tc>
          <w:tcPr>
            <w:tcW w:w="822"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42</w:t>
            </w:r>
          </w:p>
          <w:p>
            <w:pPr>
              <w:widowControl/>
              <w:jc w:val="center"/>
              <w:rPr>
                <w:rFonts w:hint="default" w:ascii="宋体" w:hAnsi="宋体" w:eastAsia="宋体" w:cs="宋体"/>
                <w:kern w:val="0"/>
                <w:szCs w:val="21"/>
                <w:lang w:val="en-US" w:eastAsia="zh-CN"/>
              </w:rPr>
            </w:pPr>
          </w:p>
        </w:tc>
        <w:tc>
          <w:tcPr>
            <w:tcW w:w="821"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40</w:t>
            </w:r>
          </w:p>
          <w:p>
            <w:pPr>
              <w:widowControl/>
              <w:jc w:val="center"/>
              <w:rPr>
                <w:rFonts w:hint="eastAsia" w:ascii="宋体" w:hAnsi="宋体" w:cs="宋体"/>
                <w:kern w:val="0"/>
                <w:szCs w:val="21"/>
              </w:rPr>
            </w:pPr>
          </w:p>
        </w:tc>
        <w:tc>
          <w:tcPr>
            <w:tcW w:w="936" w:type="dxa"/>
            <w:tcBorders>
              <w:tl2br w:val="nil"/>
              <w:tr2bl w:val="nil"/>
            </w:tcBorders>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0.34</w:t>
            </w:r>
          </w:p>
          <w:p>
            <w:pPr>
              <w:widowControl/>
              <w:jc w:val="center"/>
              <w:rPr>
                <w:rFonts w:hint="default" w:ascii="宋体" w:hAnsi="宋体" w:eastAsia="宋体" w:cs="宋体"/>
                <w:color w:val="auto"/>
                <w:kern w:val="0"/>
                <w:szCs w:val="21"/>
                <w:lang w:val="en-US" w:eastAsia="zh-CN"/>
              </w:rPr>
            </w:pPr>
          </w:p>
        </w:tc>
        <w:tc>
          <w:tcPr>
            <w:tcW w:w="978" w:type="dxa"/>
            <w:tcBorders>
              <w:tl2br w:val="nil"/>
              <w:tr2bl w:val="nil"/>
            </w:tcBorders>
            <w:vAlign w:val="center"/>
          </w:tcPr>
          <w:p>
            <w:pPr>
              <w:widowControl/>
              <w:jc w:val="center"/>
              <w:rPr>
                <w:rFonts w:hint="eastAsia" w:ascii="宋体" w:hAnsi="宋体" w:cs="宋体"/>
                <w:kern w:val="0"/>
                <w:szCs w:val="21"/>
              </w:rPr>
            </w:pPr>
            <w:r>
              <w:rPr>
                <w:rFonts w:hint="eastAsia" w:ascii="宋体" w:hAnsi="宋体" w:cs="宋体"/>
                <w:kern w:val="0"/>
                <w:szCs w:val="21"/>
              </w:rPr>
              <w:t>0.325</w:t>
            </w:r>
          </w:p>
          <w:p>
            <w:pPr>
              <w:widowControl/>
              <w:jc w:val="center"/>
              <w:rPr>
                <w:rFonts w:hint="eastAsia" w:ascii="宋体" w:hAnsi="宋体" w:cs="宋体"/>
                <w:kern w:val="0"/>
                <w:szCs w:val="21"/>
              </w:rPr>
            </w:pP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trPr>
        <w:tc>
          <w:tcPr>
            <w:tcW w:w="1603" w:type="dxa"/>
            <w:gridSpan w:val="2"/>
            <w:vMerge w:val="restart"/>
            <w:tcBorders>
              <w:tl2br w:val="nil"/>
              <w:tr2bl w:val="nil"/>
            </w:tcBorders>
            <w:vAlign w:val="center"/>
          </w:tcPr>
          <w:p>
            <w:pPr>
              <w:widowControl/>
              <w:jc w:val="center"/>
              <w:rPr>
                <w:color w:val="000000"/>
                <w:kern w:val="0"/>
                <w:sz w:val="20"/>
                <w:szCs w:val="20"/>
              </w:rPr>
            </w:pPr>
            <w:r>
              <w:rPr>
                <w:rFonts w:hint="eastAsia"/>
                <w:color w:val="000000"/>
                <w:kern w:val="0"/>
                <w:szCs w:val="21"/>
              </w:rPr>
              <w:t>地下室</w:t>
            </w: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cs="宋体"/>
                <w:color w:val="000000"/>
                <w:kern w:val="0"/>
                <w:sz w:val="20"/>
                <w:szCs w:val="20"/>
              </w:rPr>
              <w:t>住宅塔楼地下室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195</w:t>
            </w:r>
          </w:p>
        </w:tc>
        <w:tc>
          <w:tcPr>
            <w:tcW w:w="821"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185</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2</w:t>
            </w:r>
            <w:r>
              <w:rPr>
                <w:rFonts w:hint="eastAsia" w:ascii="宋体" w:hAnsi="宋体" w:cs="宋体"/>
                <w:kern w:val="0"/>
                <w:szCs w:val="21"/>
                <w:lang w:val="en-US" w:eastAsia="zh-CN"/>
              </w:rPr>
              <w:t>.0</w:t>
            </w:r>
          </w:p>
          <w:p>
            <w:pPr>
              <w:widowControl/>
              <w:jc w:val="center"/>
              <w:rPr>
                <w:rFonts w:hint="default" w:ascii="宋体" w:hAnsi="宋体" w:eastAsia="宋体" w:cs="宋体"/>
                <w:kern w:val="0"/>
                <w:szCs w:val="21"/>
                <w:lang w:val="en-US" w:eastAsia="zh-CN"/>
              </w:rPr>
            </w:pPr>
          </w:p>
        </w:tc>
        <w:tc>
          <w:tcPr>
            <w:tcW w:w="978"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1.9</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jc w:val="center"/>
              <w:rPr>
                <w:rFonts w:ascii="宋体" w:hAnsi="宋体" w:cs="宋体"/>
                <w:color w:val="000000"/>
                <w:kern w:val="0"/>
                <w:sz w:val="20"/>
                <w:szCs w:val="20"/>
              </w:rPr>
            </w:pPr>
            <w:r>
              <w:rPr>
                <w:rFonts w:hint="eastAsia" w:ascii="宋体" w:hAnsi="宋体" w:eastAsia="宋体" w:cs="宋体"/>
                <w:color w:val="000000"/>
                <w:kern w:val="0"/>
                <w:sz w:val="20"/>
                <w:szCs w:val="20"/>
              </w:rPr>
              <w:t>非人防地下室</w:t>
            </w:r>
          </w:p>
        </w:tc>
        <w:tc>
          <w:tcPr>
            <w:tcW w:w="822"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w:t>
            </w:r>
            <w:r>
              <w:rPr>
                <w:rFonts w:hint="eastAsia" w:ascii="宋体" w:hAnsi="宋体" w:cs="宋体"/>
                <w:kern w:val="0"/>
                <w:szCs w:val="21"/>
                <w:lang w:val="en-US" w:eastAsia="zh-CN"/>
              </w:rPr>
              <w:t>00</w:t>
            </w:r>
          </w:p>
        </w:tc>
        <w:tc>
          <w:tcPr>
            <w:tcW w:w="821"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95</w:t>
            </w:r>
          </w:p>
        </w:tc>
        <w:tc>
          <w:tcPr>
            <w:tcW w:w="936"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1.1</w:t>
            </w:r>
          </w:p>
        </w:tc>
        <w:tc>
          <w:tcPr>
            <w:tcW w:w="978" w:type="dxa"/>
            <w:tcBorders>
              <w:tl2br w:val="nil"/>
              <w:tr2bl w:val="nil"/>
            </w:tcBorders>
            <w:vAlign w:val="center"/>
          </w:tcPr>
          <w:p>
            <w:pPr>
              <w:widowControl/>
              <w:jc w:val="center"/>
              <w:rPr>
                <w:rFonts w:hint="default" w:ascii="宋体" w:hAnsi="宋体" w:eastAsia="宋体" w:cs="宋体"/>
                <w:kern w:val="0"/>
                <w:szCs w:val="21"/>
                <w:lang w:val="en-US" w:eastAsia="zh-CN"/>
              </w:rPr>
            </w:pPr>
            <w:r>
              <w:rPr>
                <w:rFonts w:hint="eastAsia" w:ascii="宋体" w:hAnsi="宋体" w:cs="宋体"/>
                <w:kern w:val="0"/>
                <w:szCs w:val="21"/>
              </w:rPr>
              <w:t>1.085</w:t>
            </w:r>
          </w:p>
        </w:tc>
        <w:tc>
          <w:tcPr>
            <w:tcW w:w="2025" w:type="dxa"/>
            <w:vMerge w:val="continue"/>
            <w:tcBorders>
              <w:tl2br w:val="nil"/>
              <w:tr2bl w:val="nil"/>
            </w:tcBorders>
            <w:vAlign w:val="center"/>
          </w:tcPr>
          <w:p>
            <w:pPr>
              <w:widowControl/>
              <w:jc w:val="center"/>
              <w:rPr>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603" w:type="dxa"/>
            <w:gridSpan w:val="2"/>
            <w:vMerge w:val="continue"/>
            <w:tcBorders>
              <w:tl2br w:val="nil"/>
              <w:tr2bl w:val="nil"/>
            </w:tcBorders>
            <w:vAlign w:val="center"/>
          </w:tcPr>
          <w:p>
            <w:pPr>
              <w:widowControl/>
              <w:jc w:val="center"/>
              <w:rPr>
                <w:color w:val="000000"/>
                <w:kern w:val="0"/>
                <w:sz w:val="20"/>
                <w:szCs w:val="20"/>
              </w:rPr>
            </w:pPr>
          </w:p>
        </w:tc>
        <w:tc>
          <w:tcPr>
            <w:tcW w:w="1337" w:type="dxa"/>
            <w:tcBorders>
              <w:tl2br w:val="nil"/>
              <w:tr2bl w:val="nil"/>
            </w:tcBorders>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人防地下室</w:t>
            </w:r>
          </w:p>
        </w:tc>
        <w:tc>
          <w:tcPr>
            <w:tcW w:w="822" w:type="dxa"/>
            <w:tcBorders>
              <w:tl2br w:val="nil"/>
              <w:tr2bl w:val="nil"/>
            </w:tcBorders>
            <w:vAlign w:val="center"/>
          </w:tcPr>
          <w:p>
            <w:pPr>
              <w:widowControl/>
              <w:jc w:val="center"/>
              <w:rPr>
                <w:rFonts w:hint="eastAsia" w:ascii="宋体" w:hAnsi="宋体" w:eastAsia="宋体" w:cs="宋体"/>
                <w:color w:val="FF0000"/>
                <w:kern w:val="0"/>
                <w:szCs w:val="21"/>
                <w:lang w:val="en-US" w:eastAsia="zh-CN"/>
              </w:rPr>
            </w:pPr>
            <w:r>
              <w:rPr>
                <w:rFonts w:hint="eastAsia" w:ascii="宋体" w:hAnsi="宋体" w:eastAsia="宋体" w:cs="宋体"/>
                <w:kern w:val="0"/>
                <w:szCs w:val="21"/>
              </w:rPr>
              <w:t>145</w:t>
            </w:r>
          </w:p>
        </w:tc>
        <w:tc>
          <w:tcPr>
            <w:tcW w:w="821"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140</w:t>
            </w:r>
          </w:p>
        </w:tc>
        <w:tc>
          <w:tcPr>
            <w:tcW w:w="936"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1.2</w:t>
            </w:r>
          </w:p>
        </w:tc>
        <w:tc>
          <w:tcPr>
            <w:tcW w:w="978" w:type="dxa"/>
            <w:tcBorders>
              <w:tl2br w:val="nil"/>
              <w:tr2bl w:val="nil"/>
            </w:tcBorders>
            <w:vAlign w:val="center"/>
          </w:tcPr>
          <w:p>
            <w:pPr>
              <w:widowControl/>
              <w:jc w:val="center"/>
              <w:rPr>
                <w:rFonts w:hint="eastAsia" w:ascii="宋体" w:hAnsi="宋体" w:cs="宋体"/>
                <w:color w:val="FF0000"/>
                <w:kern w:val="0"/>
                <w:szCs w:val="21"/>
                <w:lang w:val="en-US" w:eastAsia="zh-CN"/>
              </w:rPr>
            </w:pPr>
            <w:r>
              <w:rPr>
                <w:rFonts w:hint="eastAsia" w:ascii="宋体" w:hAnsi="宋体" w:cs="宋体"/>
                <w:kern w:val="0"/>
                <w:szCs w:val="21"/>
              </w:rPr>
              <w:t>1.185</w:t>
            </w:r>
          </w:p>
        </w:tc>
        <w:tc>
          <w:tcPr>
            <w:tcW w:w="2025" w:type="dxa"/>
            <w:tcBorders>
              <w:tl2br w:val="nil"/>
              <w:tr2bl w:val="nil"/>
            </w:tcBorders>
            <w:vAlign w:val="center"/>
          </w:tcPr>
          <w:p>
            <w:pPr>
              <w:widowControl/>
              <w:jc w:val="center"/>
              <w:rPr>
                <w:color w:val="000000"/>
                <w:kern w:val="0"/>
                <w:sz w:val="20"/>
                <w:szCs w:val="20"/>
              </w:rPr>
            </w:pPr>
          </w:p>
        </w:tc>
      </w:tr>
    </w:tbl>
    <w:p>
      <w:pPr>
        <w:pStyle w:val="5"/>
        <w:adjustRightInd w:val="0"/>
        <w:snapToGrid w:val="0"/>
        <w:spacing w:line="480" w:lineRule="exact"/>
        <w:jc w:val="center"/>
        <w:rPr>
          <w:rFonts w:hAnsi="宋体" w:cs="宋体"/>
          <w:color w:val="000000"/>
          <w:kern w:val="0"/>
          <w:sz w:val="32"/>
          <w:szCs w:val="32"/>
          <w:u w:val="single"/>
        </w:rPr>
      </w:pPr>
    </w:p>
    <w:p>
      <w:pPr>
        <w:pStyle w:val="5"/>
        <w:adjustRightInd w:val="0"/>
        <w:snapToGrid w:val="0"/>
        <w:spacing w:line="480" w:lineRule="exact"/>
        <w:jc w:val="center"/>
        <w:rPr>
          <w:rFonts w:hAnsi="宋体" w:cs="宋体"/>
          <w:color w:val="000000"/>
          <w:kern w:val="0"/>
          <w:sz w:val="32"/>
          <w:szCs w:val="32"/>
          <w:u w:val="single"/>
        </w:rPr>
      </w:pPr>
    </w:p>
    <w:p>
      <w:pPr>
        <w:pStyle w:val="5"/>
        <w:adjustRightInd w:val="0"/>
        <w:snapToGrid w:val="0"/>
        <w:spacing w:line="480" w:lineRule="exact"/>
        <w:jc w:val="both"/>
        <w:rPr>
          <w:rFonts w:hAnsi="宋体"/>
          <w:b/>
          <w:sz w:val="3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lvl w:ilvl="0" w:tentative="0">
      <w:start w:val="2"/>
      <w:numFmt w:val="chineseCounting"/>
      <w:suff w:val="nothing"/>
      <w:lvlText w:val="%1、"/>
      <w:lvlJc w:val="left"/>
      <w:rPr>
        <w:rFonts w:hint="eastAsia"/>
      </w:rPr>
    </w:lvl>
  </w:abstractNum>
  <w:abstractNum w:abstractNumId="1">
    <w:nsid w:val="00000008"/>
    <w:multiLevelType w:val="singleLevel"/>
    <w:tmpl w:val="00000008"/>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suff w:val="nothing"/>
      <w:lvlText w:val="%1、"/>
      <w:lvlJc w:val="left"/>
    </w:lvl>
  </w:abstractNum>
  <w:abstractNum w:abstractNumId="3">
    <w:nsid w:val="00000010"/>
    <w:multiLevelType w:val="singleLevel"/>
    <w:tmpl w:val="00000010"/>
    <w:lvl w:ilvl="0" w:tentative="0">
      <w:start w:val="2"/>
      <w:numFmt w:val="decimal"/>
      <w:suff w:val="nothing"/>
      <w:lvlText w:val="%1、"/>
      <w:lvlJc w:val="left"/>
    </w:lvl>
  </w:abstractNum>
  <w:abstractNum w:abstractNumId="4">
    <w:nsid w:val="00000011"/>
    <w:multiLevelType w:val="singleLevel"/>
    <w:tmpl w:val="00000011"/>
    <w:lvl w:ilvl="0" w:tentative="0">
      <w:start w:val="1"/>
      <w:numFmt w:val="decimal"/>
      <w:suff w:val="nothing"/>
      <w:lvlText w:val="%1）"/>
      <w:lvlJc w:val="left"/>
    </w:lvl>
  </w:abstractNum>
  <w:abstractNum w:abstractNumId="5">
    <w:nsid w:val="00000012"/>
    <w:multiLevelType w:val="singleLevel"/>
    <w:tmpl w:val="00000012"/>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A42D6"/>
    <w:rsid w:val="1A290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3"/>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3">
    <w:name w:val="Default Paragraph Font"/>
    <w:qFormat/>
    <w:uiPriority w:val="1"/>
  </w:style>
  <w:style w:type="table" w:default="1" w:styleId="11">
    <w:name w:val="Normal Table"/>
    <w:qFormat/>
    <w:uiPriority w:val="99"/>
    <w:tblPr>
      <w:tblLayout w:type="fixed"/>
      <w:tblCellMar>
        <w:top w:w="0" w:type="dxa"/>
        <w:left w:w="108" w:type="dxa"/>
        <w:bottom w:w="0" w:type="dxa"/>
        <w:right w:w="108" w:type="dxa"/>
      </w:tblCellMar>
    </w:tblPr>
  </w:style>
  <w:style w:type="paragraph" w:customStyle="1" w:styleId="3">
    <w:name w:val="2001版正文样式"/>
    <w:basedOn w:val="1"/>
    <w:qFormat/>
    <w:uiPriority w:val="0"/>
    <w:pPr>
      <w:autoSpaceDE w:val="0"/>
      <w:autoSpaceDN w:val="0"/>
      <w:snapToGrid w:val="0"/>
      <w:spacing w:line="360" w:lineRule="auto"/>
      <w:ind w:firstLine="629" w:firstLineChars="242"/>
      <w:textAlignment w:val="bottom"/>
    </w:pPr>
    <w:rPr>
      <w:rFonts w:hAnsi="宋体" w:cs="Arial"/>
      <w:spacing w:val="20"/>
      <w:sz w:val="24"/>
    </w:rPr>
  </w:style>
  <w:style w:type="paragraph" w:styleId="5">
    <w:name w:val="Plain Text"/>
    <w:basedOn w:val="1"/>
    <w:qFormat/>
    <w:uiPriority w:val="0"/>
    <w:rPr>
      <w:rFonts w:ascii="宋体" w:hAnsi="Courier New" w:cs="Courier New"/>
      <w:szCs w:val="21"/>
    </w:rPr>
  </w:style>
  <w:style w:type="paragraph" w:styleId="6">
    <w:name w:val="Date"/>
    <w:basedOn w:val="1"/>
    <w:next w:val="1"/>
    <w:qFormat/>
    <w:uiPriority w:val="0"/>
    <w:rPr>
      <w:sz w:val="24"/>
      <w:szCs w:val="20"/>
    </w:rPr>
  </w:style>
  <w:style w:type="paragraph" w:styleId="7">
    <w:name w:val="Balloon Text"/>
    <w:basedOn w:val="1"/>
    <w:link w:val="19"/>
    <w:qFormat/>
    <w:uiPriority w:val="99"/>
    <w:rPr>
      <w:sz w:val="18"/>
      <w:szCs w:val="18"/>
    </w:rPr>
  </w:style>
  <w:style w:type="paragraph" w:styleId="8">
    <w:name w:val="footer"/>
    <w:basedOn w:val="1"/>
    <w:link w:val="16"/>
    <w:qFormat/>
    <w:uiPriority w:val="99"/>
    <w:pPr>
      <w:tabs>
        <w:tab w:val="center" w:pos="4153"/>
        <w:tab w:val="right" w:pos="8306"/>
      </w:tabs>
      <w:snapToGrid w:val="0"/>
      <w:jc w:val="left"/>
    </w:pPr>
    <w:rPr>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page number"/>
    <w:basedOn w:val="13"/>
    <w:qFormat/>
    <w:uiPriority w:val="0"/>
  </w:style>
  <w:style w:type="character" w:styleId="15">
    <w:name w:val="Hyperlink"/>
    <w:basedOn w:val="13"/>
    <w:qFormat/>
    <w:uiPriority w:val="99"/>
    <w:rPr>
      <w:color w:val="0000FF"/>
      <w:u w:val="single"/>
    </w:rPr>
  </w:style>
  <w:style w:type="character" w:customStyle="1" w:styleId="16">
    <w:name w:val="页脚 Char"/>
    <w:basedOn w:val="13"/>
    <w:link w:val="8"/>
    <w:qFormat/>
    <w:uiPriority w:val="99"/>
    <w:rPr>
      <w:rFonts w:ascii="Calibri" w:hAnsi="Calibri" w:eastAsia="宋体" w:cs="宋体"/>
      <w:kern w:val="2"/>
      <w:sz w:val="18"/>
      <w:szCs w:val="18"/>
    </w:rPr>
  </w:style>
  <w:style w:type="character" w:customStyle="1" w:styleId="17">
    <w:name w:val="页眉 Char"/>
    <w:basedOn w:val="13"/>
    <w:link w:val="9"/>
    <w:qFormat/>
    <w:uiPriority w:val="99"/>
    <w:rPr>
      <w:rFonts w:ascii="Calibri" w:hAnsi="Calibri" w:eastAsia="宋体" w:cs="宋体"/>
      <w:kern w:val="2"/>
      <w:sz w:val="18"/>
      <w:szCs w:val="18"/>
    </w:rPr>
  </w:style>
  <w:style w:type="paragraph" w:customStyle="1" w:styleId="18">
    <w:name w:val="p0"/>
    <w:basedOn w:val="1"/>
    <w:qFormat/>
    <w:uiPriority w:val="0"/>
    <w:pPr>
      <w:widowControl/>
    </w:pPr>
    <w:rPr>
      <w:kern w:val="0"/>
      <w:szCs w:val="21"/>
    </w:rPr>
  </w:style>
  <w:style w:type="character" w:customStyle="1" w:styleId="19">
    <w:name w:val="批注框文本 Char"/>
    <w:basedOn w:val="13"/>
    <w:link w:val="7"/>
    <w:qFormat/>
    <w:uiPriority w:val="99"/>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大众电脑</Company>
  <Pages>28</Pages>
  <Words>10434</Words>
  <Characters>11117</Characters>
  <Paragraphs>769</Paragraphs>
  <TotalTime>24</TotalTime>
  <ScaleCrop>false</ScaleCrop>
  <LinksUpToDate>false</LinksUpToDate>
  <CharactersWithSpaces>12371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2019-07-12T10:20:00Z</dcterms:created>
  <dc:creator>USER-</dc:creator>
  <cp:lastModifiedBy>gyb1</cp:lastModifiedBy>
  <cp:lastPrinted>2022-05-09T08:19:00Z</cp:lastPrinted>
  <dcterms:modified xsi:type="dcterms:W3CDTF">2022-05-12T08:09:47Z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D9147AE135EC42DAB055339887AAD8E0</vt:lpwstr>
  </property>
  <property fmtid="{D5CDD505-2E9C-101B-9397-08002B2CF9AE}" pid="4" name="commondata">
    <vt:lpwstr>eyJoZGlkIjoiNjc3OWEyYzM4NTgzNWE4NmJlNmUzYTdkNTA3MGE0N2MifQ==</vt:lpwstr>
  </property>
</Properties>
</file>